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Garamond" w:hAnsi="Garamond" w:eastAsia="Garamond"/>
          <w:b/>
          <w:color w:val="173B5F"/>
          <w:sz w:val="40"/>
        </w:rPr>
        <w:t>AK-L19: Dipanagara and the Java War, 1825-1830</w:t>
      </w:r>
    </w:p>
    <w:p>
      <w:pPr>
        <w:jc w:val="center"/>
      </w:pPr>
      <w:r>
        <w:rPr>
          <w:rFonts w:ascii="Garamond" w:hAnsi="Garamond" w:eastAsia="Garamond"/>
          <w:i/>
          <w:color w:val="425466"/>
          <w:sz w:val="24"/>
        </w:rPr>
        <w:t>Web Publishing Notes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Suggested URL slug</w:t>
            </w:r>
          </w:p>
        </w:tc>
        <w:tc>
          <w:tcPr>
            <w:tcW w:type="dxa" w:w="4968"/>
          </w:tcPr>
          <w:p>
            <w:r>
              <w:t>/dipanagara-and-the-java-war-1825-1830/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Archive label</w:t>
            </w:r>
          </w:p>
        </w:tc>
        <w:tc>
          <w:tcPr>
            <w:tcW w:type="dxa" w:w="4968"/>
          </w:tcPr>
          <w:p>
            <w:r>
              <w:t>AK-L19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Resource order</w:t>
            </w:r>
          </w:p>
        </w:tc>
        <w:tc>
          <w:tcPr>
            <w:tcW w:type="dxa" w:w="4968"/>
          </w:tcPr>
          <w:p>
            <w:r>
              <w:t>Lecture Synopsis | Clean Transcript | Original Lecture Notes | Further Reading</w:t>
            </w:r>
          </w:p>
        </w:tc>
      </w:tr>
    </w:tbl>
    <w:p/>
    <w:p>
      <w:pPr>
        <w:pStyle w:val="Heading2"/>
      </w:pPr>
      <w:r>
        <w:t>SEO title</w:t>
      </w:r>
    </w:p>
    <w:p>
      <w:r>
        <w:t>Dipanagara and the Java War, 1825-1830 | Professor Ann Kumar Archive</w:t>
      </w:r>
    </w:p>
    <w:p>
      <w:pPr>
        <w:pStyle w:val="Heading2"/>
      </w:pPr>
      <w:r>
        <w:t>Meta description</w:t>
      </w:r>
    </w:p>
    <w:p>
      <w:r>
        <w:t>Professor Ann Kumar’s lecture on Dipanagara and the Java War, exploring Javanese-Islamic authority, sacred geography, guerrilla resistance and the colonial aftermath of 1825-1830.</w:t>
      </w:r>
    </w:p>
    <w:p>
      <w:pPr>
        <w:pStyle w:val="Heading2"/>
      </w:pPr>
      <w:r>
        <w:t>Suggested excerpt</w:t>
      </w:r>
    </w:p>
    <w:p>
      <w:r>
        <w:t>This lecture examines Prince Dipanagara and the Java War as a turning point in nineteenth-century Java, linking Dutch administrative expansion, Javanese aristocratic politics, Islamic learning and the Ratu Adil tradition.</w:t>
      </w:r>
    </w:p>
    <w:p>
      <w:pPr>
        <w:pStyle w:val="Heading2"/>
      </w:pPr>
      <w:r>
        <w:t>Suggested hero / infographic prompts</w:t>
      </w:r>
    </w:p>
    <w:p>
      <w:pPr>
        <w:pStyle w:val="ListBullet"/>
      </w:pPr>
      <w:r>
        <w:t>Conceptual map: “Dipanagara and the Java War.” Show Jogjakarta/Yogyakarta, sacred tomb/road dispute, mountain ascetic sites, guerrilla zones, Dutch forts and final exile to Celebes. Use arrows to show escalation and displacement rather than a simple battle map.</w:t>
      </w:r>
    </w:p>
    <w:p>
      <w:pPr>
        <w:pStyle w:val="ListBullet"/>
      </w:pPr>
      <w:r>
        <w:t>Infographic: “Three Worlds of Dipanagara.” Three interlocking circles: Javanese court politics, pesantren/Islamic learning, and Ratu Adil prophecy. Centre: Dipanagara as rebel prince and spiritual claimant.</w:t>
      </w:r>
    </w:p>
    <w:p>
      <w:pPr>
        <w:pStyle w:val="ListBullet"/>
      </w:pPr>
      <w:r>
        <w:t>Timeline panel: 1814 succession background; Dutch return; road through sacred land; 1825 outbreak; guerrilla war; 1829 ally surrender; 1830 arrest and exile; 1855 death in Celebes.</w:t>
      </w:r>
    </w:p>
    <w:p>
      <w:pPr>
        <w:pStyle w:val="Heading2"/>
      </w:pPr>
      <w:r>
        <w:t>Alt text suggestions</w:t>
      </w:r>
    </w:p>
    <w:p>
      <w:pPr>
        <w:pStyle w:val="ListBullet"/>
      </w:pPr>
      <w:r>
        <w:t>Conceptual map of the Java War showing Yogyakarta, Dutch roads, sacred sites, guerrilla zones and Dipanagara’s exile route to Celebes.</w:t>
      </w:r>
    </w:p>
    <w:p>
      <w:pPr>
        <w:pStyle w:val="ListBullet"/>
      </w:pPr>
      <w:r>
        <w:t>Diagram showing Dipanagara at the intersection of Javanese court politics, Islamic learning and the Ratu Adil prophetic tradition.</w:t>
      </w:r>
    </w:p>
    <w:p>
      <w:pPr>
        <w:pStyle w:val="Heading2"/>
      </w:pPr>
      <w:r>
        <w:t>Archives page row update</w:t>
      </w:r>
    </w:p>
    <w:p>
      <w:r>
        <w:t>Use the standard Archives table labels: Original = PDF; Transcript = DOCX; Summary = DOCX; Further Reading = DOCX.</w:t>
      </w:r>
    </w:p>
    <w:p>
      <w:r>
        <w:t>&lt;tr&gt;</w:t>
        <w:br/>
        <w:t xml:space="preserve">  &lt;td&gt;&lt;a href="/dipanagara-and-the-java-war-1825-1830/"&gt;Dipanagara and the Java War, 1825-1830&lt;/a&gt;&lt;/td&gt;</w:t>
        <w:br/>
        <w:t xml:space="preserve">  &lt;td&gt;PDF 010 breakout&lt;/td&gt;</w:t>
        <w:br/>
        <w:t xml:space="preserve">  &lt;td&gt;&lt;a href="PASTE-ORIGINAL-PDF-URL-HERE"&gt;PDF&lt;/a&gt;&lt;/td&gt;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2"/>
      </w:pPr>
      <w:r>
        <w:t>Proofing cautions</w:t>
      </w:r>
    </w:p>
    <w:p>
      <w:pPr>
        <w:pStyle w:val="ListBullet"/>
      </w:pPr>
      <w:r>
        <w:t>Verify all Javanese names and transliterations against the original scan.</w:t>
      </w:r>
    </w:p>
    <w:p>
      <w:pPr>
        <w:pStyle w:val="ListBullet"/>
      </w:pPr>
      <w:r>
        <w:t>Decide whether public site spelling should use Dipanagara, Diponegoro, or both.</w:t>
      </w:r>
    </w:p>
    <w:p>
      <w:pPr>
        <w:pStyle w:val="ListBullet"/>
      </w:pPr>
      <w:r>
        <w:t>Check whether “Celebes” should be left in the transcript while modern context notes say Sulawesi.</w:t>
      </w:r>
    </w:p>
    <w:p>
      <w:pPr>
        <w:pStyle w:val="ListBullet"/>
      </w:pPr>
      <w:r>
        <w:t>Keep this as a breakout from AK-L11, not a replacement for the broader 1800-Culture System lecture.</w:t>
      </w:r>
    </w:p>
    <w:sectPr w:rsidR="00FC693F" w:rsidRPr="0006063C" w:rsidSect="00034616">
      <w:pgSz w:w="12240" w:h="15840"/>
      <w:pgMar w:top="1080" w:right="1152" w:bottom="10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69" w:lineRule="auto"/>
    </w:pPr>
    <w:rPr>
      <w:rFonts w:ascii="Garamond" w:hAnsi="Garamond" w:eastAsia="Garamond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