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Garamond" w:hAnsi="Garamond" w:eastAsia="Garamond"/>
          <w:b/>
          <w:color w:val="173B5F"/>
          <w:sz w:val="40"/>
        </w:rPr>
        <w:t>AK-L19: Dipanagara and the Java War, 1825-1830</w:t>
      </w:r>
    </w:p>
    <w:p>
      <w:pPr>
        <w:jc w:val="center"/>
      </w:pPr>
      <w:r>
        <w:rPr>
          <w:rFonts w:ascii="Garamond" w:hAnsi="Garamond" w:eastAsia="Garamond"/>
          <w:i/>
          <w:color w:val="425466"/>
          <w:sz w:val="24"/>
        </w:rPr>
        <w:t>Lecture Synopsis</w:t>
      </w:r>
    </w:p>
    <w:p/>
    <w:tbl>
      <w:tblPr>
        <w:tblStyle w:val="TableGrid"/>
        <w:tblW w:type="auto" w:w="0"/>
        <w:tblLook w:firstColumn="1" w:firstRow="1" w:lastColumn="0" w:lastRow="0" w:noHBand="0" w:noVBand="1" w:val="04A0"/>
      </w:tblPr>
      <w:tblGrid>
        <w:gridCol w:w="4968"/>
        <w:gridCol w:w="4968"/>
      </w:tblGrid>
      <w:tr>
        <w:tc>
          <w:tcPr>
            <w:tcW w:type="dxa" w:w="4968"/>
            <w:shd w:fill="F5F0E6"/>
          </w:tcPr>
          <w:p>
            <w:r>
              <w:rPr>
                <w:b/>
                <w:color w:val="173B5F"/>
              </w:rPr>
              <w:t>Resource type</w:t>
            </w:r>
          </w:p>
        </w:tc>
        <w:tc>
          <w:tcPr>
            <w:tcW w:type="dxa" w:w="4968"/>
          </w:tcPr>
          <w:p>
            <w:r>
              <w:t>Lecture Synopsis</w:t>
            </w:r>
          </w:p>
        </w:tc>
      </w:tr>
      <w:tr>
        <w:tc>
          <w:tcPr>
            <w:tcW w:type="dxa" w:w="4968"/>
            <w:shd w:fill="F5F0E6"/>
          </w:tcPr>
          <w:p>
            <w:r>
              <w:rPr>
                <w:b/>
                <w:color w:val="173B5F"/>
              </w:rPr>
              <w:t>Hub</w:t>
            </w:r>
          </w:p>
        </w:tc>
        <w:tc>
          <w:tcPr>
            <w:tcW w:type="dxa" w:w="4968"/>
          </w:tcPr>
          <w:p>
            <w:r>
              <w:t>Nationalist Awakening / Colonial Engine transition</w:t>
            </w:r>
          </w:p>
        </w:tc>
      </w:tr>
      <w:tr>
        <w:tc>
          <w:tcPr>
            <w:tcW w:type="dxa" w:w="4968"/>
            <w:shd w:fill="F5F0E6"/>
          </w:tcPr>
          <w:p>
            <w:r>
              <w:rPr>
                <w:b/>
                <w:color w:val="173B5F"/>
              </w:rPr>
              <w:t>Chronology</w:t>
            </w:r>
          </w:p>
        </w:tc>
        <w:tc>
          <w:tcPr>
            <w:tcW w:type="dxa" w:w="4968"/>
          </w:tcPr>
          <w:p>
            <w:r>
              <w:t>1825-1830</w:t>
            </w:r>
          </w:p>
        </w:tc>
      </w:tr>
      <w:tr>
        <w:tc>
          <w:tcPr>
            <w:tcW w:type="dxa" w:w="4968"/>
            <w:shd w:fill="F5F0E6"/>
          </w:tcPr>
          <w:p>
            <w:r>
              <w:rPr>
                <w:b/>
                <w:color w:val="173B5F"/>
              </w:rPr>
              <w:t>Source</w:t>
            </w:r>
          </w:p>
        </w:tc>
        <w:tc>
          <w:tcPr>
            <w:tcW w:type="dxa" w:w="4968"/>
          </w:tcPr>
          <w:p>
            <w:r>
              <w:t>PDF Low Res-0010 breakout</w:t>
            </w:r>
          </w:p>
        </w:tc>
      </w:tr>
    </w:tbl>
    <w:p/>
    <w:p>
      <w:pPr>
        <w:pStyle w:val="Heading2"/>
      </w:pPr>
      <w:r>
        <w:t>Overview</w:t>
      </w:r>
    </w:p>
    <w:p>
      <w:r>
        <w:t>This lecture package examines Prince Dipanagara and the Java War of 1825-1830 as a major turning point in nineteenth-century Java. Professor Kumar presents the war not simply as a dynastic dispute, but as a conflict shaped by expanding Dutch control, sacred geography, Javanese aristocratic politics, Islamic learning and messianic expectation.</w:t>
      </w:r>
    </w:p>
    <w:p>
      <w:pPr>
        <w:pStyle w:val="Heading2"/>
      </w:pPr>
      <w:r>
        <w:t>Core argument</w:t>
      </w:r>
    </w:p>
    <w:p>
      <w:r>
        <w:t>Dipanagara’s rebellion brought together political grievance, religious conviction and Javanese prophetic tradition. His world was not separable into neat categories of Islam, court politics and local resistance; rather, these elements were fused in a powerful idiom of legitimate rule and sacred obligation.</w:t>
      </w:r>
    </w:p>
    <w:p>
      <w:pPr>
        <w:pStyle w:val="Heading2"/>
      </w:pPr>
      <w:r>
        <w:t>Key points for students</w:t>
      </w:r>
    </w:p>
    <w:p>
      <w:pPr>
        <w:pStyle w:val="ListBullet"/>
      </w:pPr>
      <w:r>
        <w:t>The Java War occurred after decades of administrative change under Daendels, Raffles and the restored Dutch regime.</w:t>
      </w:r>
    </w:p>
    <w:p>
      <w:pPr>
        <w:pStyle w:val="ListBullet"/>
      </w:pPr>
      <w:r>
        <w:t>Dutch expansion of direct rule reduced older Javanese aristocratic autonomy and altered the political place of the regents and court elites.</w:t>
      </w:r>
    </w:p>
    <w:p>
      <w:pPr>
        <w:pStyle w:val="ListBullet"/>
      </w:pPr>
      <w:r>
        <w:t>Dipanagara’s succession background mattered, but Professor Kumar stresses that the immediate trigger was a road driven through sacred land associated with a tomb.</w:t>
      </w:r>
    </w:p>
    <w:p>
      <w:pPr>
        <w:pStyle w:val="ListBullet"/>
      </w:pPr>
      <w:r>
        <w:t>Dipanagara’s autobiography reveals a syncretic Islamic-Javanese world of pesantren learning, ascetic practice, visions and the Ratu Adil tradition.</w:t>
      </w:r>
    </w:p>
    <w:p>
      <w:pPr>
        <w:pStyle w:val="ListBullet"/>
      </w:pPr>
      <w:r>
        <w:t>The war was fought largely through guerrilla tactics rather than pitched battle.</w:t>
      </w:r>
    </w:p>
    <w:p>
      <w:pPr>
        <w:pStyle w:val="ListBullet"/>
      </w:pPr>
      <w:r>
        <w:t>Dipanagara’s arrest during negotiations in 1830 marked the end of the war but not the end of his historical significance.</w:t>
      </w:r>
    </w:p>
    <w:p>
      <w:pPr>
        <w:pStyle w:val="ListBullet"/>
      </w:pPr>
      <w:r>
        <w:t>The financial strain of the Java War helped lead directly to Van den Bosch and the Culture System.</w:t>
      </w:r>
    </w:p>
    <w:p>
      <w:pPr>
        <w:pStyle w:val="Heading2"/>
      </w:pPr>
      <w:r>
        <w:t>Why this lecture matters</w:t>
      </w:r>
    </w:p>
    <w:p>
      <w:r>
        <w:t>The Dipanagara material is a bridge between earlier forms of localised resistance and later nationalist memory. It also helps explain why the Dutch state, after the war, turned toward more systematic extraction through the Culture System. In the archive’s larger architecture, the Java War connects Indigenous Sovereignty, the Colonial Engine and Nationalist Awakening.</w:t>
      </w:r>
    </w:p>
    <w:p>
      <w:pPr>
        <w:pStyle w:val="Heading2"/>
      </w:pPr>
      <w:r>
        <w:t>Suggested classroom questions</w:t>
      </w:r>
    </w:p>
    <w:p>
      <w:pPr>
        <w:pStyle w:val="ListBullet"/>
      </w:pPr>
      <w:r>
        <w:t>Why does Professor Kumar resist explaining Dipanagara’s rebellion solely as a disappointed succession claim?</w:t>
      </w:r>
    </w:p>
    <w:p>
      <w:pPr>
        <w:pStyle w:val="ListBullet"/>
      </w:pPr>
      <w:r>
        <w:t>How does the sacred tomb incident show the limits of Dutch understanding of Javanese political and religious authority?</w:t>
      </w:r>
    </w:p>
    <w:p>
      <w:pPr>
        <w:pStyle w:val="ListBullet"/>
      </w:pPr>
      <w:r>
        <w:t>What does Dipanagara’s vision of the Ratu Adil reveal about Javanese-Islamic political imagination?</w:t>
      </w:r>
    </w:p>
    <w:p>
      <w:pPr>
        <w:pStyle w:val="ListBullet"/>
      </w:pPr>
      <w:r>
        <w:t>How did the Java War prepare the way for the Culture System?</w:t>
      </w:r>
    </w:p>
    <w:sectPr w:rsidR="00FC693F" w:rsidRPr="0006063C" w:rsidSect="00034616">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69" w:lineRule="auto"/>
    </w:pPr>
    <w:rPr>
      <w:rFonts w:ascii="Garamond" w:hAnsi="Garamond" w:eastAsia="Garamond"/>
      <w:sz w:val="23"/>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Garamond" w:hAnsi="Garamond" w:eastAsia="Garamond"/>
      <w:b/>
      <w:bCs/>
      <w:color w:val="173B5F"/>
      <w:sz w:val="40"/>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Garamond" w:hAnsi="Garamond" w:eastAsia="Garamond"/>
      <w:b/>
      <w:bCs/>
      <w:color w:val="173B5F"/>
      <w:sz w:val="30"/>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Garamond" w:hAnsi="Garamond" w:eastAsia="Garamond"/>
      <w:b/>
      <w:bCs/>
      <w:color w:val="173B5F"/>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