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AK-L19: Dipanagara and the Java War, 1825-1830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Further Reading</w:t>
      </w:r>
    </w:p>
    <w:p/>
    <w:p>
      <w:pPr>
        <w:pStyle w:val="Heading2"/>
      </w:pPr>
      <w:r>
        <w:t>Primary and near-primary material</w:t>
      </w:r>
    </w:p>
    <w:p>
      <w:pPr>
        <w:pStyle w:val="Heading3"/>
      </w:pPr>
      <w:r>
        <w:t>Prince Dipanagara</w:t>
      </w:r>
    </w:p>
    <w:p>
      <w:r>
        <w:t>Autobiography / Babad Dipanagara</w:t>
      </w:r>
    </w:p>
    <w:p>
      <w:r>
        <w:t>Essential for understanding Dipanagara’s self-presentation, religious world, visions, exile and political mission. Use a reliable scholarly translation or edition where available.</w:t>
      </w:r>
    </w:p>
    <w:p>
      <w:pPr>
        <w:pStyle w:val="Heading3"/>
      </w:pPr>
      <w:r>
        <w:t>Thomas Stamford Raffles</w:t>
      </w:r>
    </w:p>
    <w:p>
      <w:r>
        <w:t>The History of Java</w:t>
      </w:r>
    </w:p>
    <w:p>
      <w:r>
        <w:t>Useful for the British interregnum and the administrative context preceding the Java War, though it should be read as a colonial text with its own assumptions.</w:t>
      </w:r>
    </w:p>
    <w:p>
      <w:pPr>
        <w:pStyle w:val="Heading2"/>
      </w:pPr>
      <w:r>
        <w:t>Historical scholarship</w:t>
      </w:r>
    </w:p>
    <w:p>
      <w:pPr>
        <w:pStyle w:val="Heading3"/>
      </w:pPr>
      <w:r>
        <w:t>P. B. R. Carey</w:t>
      </w:r>
    </w:p>
    <w:p>
      <w:r>
        <w:t>Works on Dipanagara and the Java War</w:t>
      </w:r>
    </w:p>
    <w:p>
      <w:r>
        <w:t>Carey is indispensable for the modern scholarly study of Dipanagara, his autobiography, the Java War and the religious-political world of early nineteenth-century Java.</w:t>
      </w:r>
    </w:p>
    <w:p>
      <w:pPr>
        <w:pStyle w:val="Heading3"/>
      </w:pPr>
      <w:r>
        <w:t>D. G. E. Hall</w:t>
      </w:r>
    </w:p>
    <w:p>
      <w:r>
        <w:t>A History of South-East Asia</w:t>
      </w:r>
    </w:p>
    <w:p>
      <w:r>
        <w:t>Useful for broad chronology and the administrative sequence from Daendels and Raffles to Dutch restoration and the Java War.</w:t>
      </w:r>
    </w:p>
    <w:p>
      <w:pPr>
        <w:pStyle w:val="Heading3"/>
      </w:pPr>
      <w:r>
        <w:t>John Bastin</w:t>
      </w:r>
    </w:p>
    <w:p>
      <w:r>
        <w:t>Raffles in Java and Sumatra</w:t>
      </w:r>
    </w:p>
    <w:p>
      <w:r>
        <w:t>A compact guide to Raffles’s policies, the land-rent system and the British interregnum.</w:t>
      </w:r>
    </w:p>
    <w:p>
      <w:pPr>
        <w:pStyle w:val="Heading3"/>
      </w:pPr>
      <w:r>
        <w:t>H. R. C. Wright</w:t>
      </w:r>
    </w:p>
    <w:p>
      <w:r>
        <w:t>East-Indian Economic Problems of the Age of Cornwallis and Raffles</w:t>
      </w:r>
    </w:p>
    <w:p>
      <w:r>
        <w:t>Useful for the economic policy background to the land-rent system and administrative reform.</w:t>
      </w:r>
    </w:p>
    <w:p>
      <w:pPr>
        <w:pStyle w:val="Heading3"/>
      </w:pPr>
      <w:r>
        <w:t>C. C. Berg</w:t>
      </w:r>
    </w:p>
    <w:p>
      <w:r>
        <w:t>Works on Javanese prophecy and the Ratu Adil tradition</w:t>
      </w:r>
    </w:p>
    <w:p>
      <w:r>
        <w:t>Relevant to Professor Kumar’s note that Berg associated the Ratu Adil with Javanese Buddhist-Maitreya expectations, whereas Dipanagara’s own account casts the figure in Islamic terms.</w:t>
      </w:r>
    </w:p>
    <w:p>
      <w:pPr>
        <w:pStyle w:val="Heading3"/>
      </w:pPr>
      <w:r>
        <w:t>J. S. Furnivall</w:t>
      </w:r>
    </w:p>
    <w:p>
      <w:r>
        <w:t>Netherlands India: A Study of Plural Economy</w:t>
      </w:r>
    </w:p>
    <w:p>
      <w:r>
        <w:t>Helpful for longer colonial-economic context, including the shift toward administrative extraction and later Culture System developments.</w:t>
      </w:r>
    </w:p>
    <w:p>
      <w:pPr>
        <w:pStyle w:val="Heading2"/>
      </w:pPr>
      <w:r>
        <w:t>Search terms for additional bibliography</w:t>
      </w:r>
    </w:p>
    <w:p>
      <w:pPr>
        <w:pStyle w:val="ListBullet"/>
      </w:pPr>
      <w:r>
        <w:t>Dipanagara / Diponegoro</w:t>
      </w:r>
    </w:p>
    <w:p>
      <w:pPr>
        <w:pStyle w:val="ListBullet"/>
      </w:pPr>
      <w:r>
        <w:t>Java War 1825-1830</w:t>
      </w:r>
    </w:p>
    <w:p>
      <w:pPr>
        <w:pStyle w:val="ListBullet"/>
      </w:pPr>
      <w:r>
        <w:t>Babad Dipanagara</w:t>
      </w:r>
    </w:p>
    <w:p>
      <w:pPr>
        <w:pStyle w:val="ListBullet"/>
      </w:pPr>
      <w:r>
        <w:t>Ratu Adil</w:t>
      </w:r>
    </w:p>
    <w:p>
      <w:pPr>
        <w:pStyle w:val="ListBullet"/>
      </w:pPr>
      <w:r>
        <w:t>Sunan Kalijaga</w:t>
      </w:r>
    </w:p>
    <w:p>
      <w:pPr>
        <w:pStyle w:val="ListBullet"/>
      </w:pPr>
      <w:r>
        <w:t>pesantren Java nineteenth century</w:t>
      </w:r>
    </w:p>
    <w:p>
      <w:pPr>
        <w:pStyle w:val="ListBullet"/>
      </w:pPr>
      <w:r>
        <w:t>Daendels Java</w:t>
      </w:r>
    </w:p>
    <w:p>
      <w:pPr>
        <w:pStyle w:val="ListBullet"/>
      </w:pPr>
      <w:r>
        <w:t>Raffles land-rent system</w:t>
      </w:r>
    </w:p>
    <w:p>
      <w:pPr>
        <w:pStyle w:val="ListBullet"/>
      </w:pPr>
      <w:r>
        <w:t>Cultivation System origins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