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jc w:val="center"/>
      </w:pPr>
      <w:r>
        <w:rPr>
          <w:rFonts w:ascii="Garamond" w:hAnsi="Garamond" w:eastAsia="Garamond"/>
          <w:b/>
          <w:color w:val="173B5F"/>
          <w:sz w:val="40"/>
        </w:rPr>
        <w:t>AK-L19: Dipanagara and the Java War, 1825-1830</w:t>
      </w:r>
    </w:p>
    <w:p>
      <w:pPr>
        <w:jc w:val="center"/>
      </w:pPr>
      <w:r>
        <w:rPr>
          <w:rFonts w:ascii="Garamond" w:hAnsi="Garamond" w:eastAsia="Garamond"/>
          <w:i/>
          <w:color w:val="425466"/>
          <w:sz w:val="24"/>
        </w:rPr>
        <w:t>Clean Transcript</w:t>
      </w:r>
    </w:p>
    <w:p/>
    <w:tbl>
      <w:tblPr>
        <w:tblStyle w:val="TableGrid"/>
        <w:tblW w:type="auto" w:w="0"/>
        <w:tblLook w:firstColumn="1" w:firstRow="1" w:lastColumn="0" w:lastRow="0" w:noHBand="0" w:noVBand="1" w:val="04A0"/>
      </w:tblPr>
      <w:tblGrid>
        <w:gridCol w:w="4968"/>
        <w:gridCol w:w="4968"/>
      </w:tblGrid>
      <w:tr>
        <w:tc>
          <w:tcPr>
            <w:tcW w:type="dxa" w:w="4968"/>
            <w:shd w:fill="F5F0E6"/>
          </w:tcPr>
          <w:p>
            <w:r>
              <w:rPr>
                <w:b/>
                <w:color w:val="173B5F"/>
              </w:rPr>
              <w:t>Archive</w:t>
            </w:r>
          </w:p>
        </w:tc>
        <w:tc>
          <w:tcPr>
            <w:tcW w:type="dxa" w:w="4968"/>
          </w:tcPr>
          <w:p>
            <w:r>
              <w:t>Professor Ann Kumar Southeast Asian Civilisation Archive</w:t>
            </w:r>
          </w:p>
        </w:tc>
      </w:tr>
      <w:tr>
        <w:tc>
          <w:tcPr>
            <w:tcW w:type="dxa" w:w="4968"/>
            <w:shd w:fill="F5F0E6"/>
          </w:tcPr>
          <w:p>
            <w:r>
              <w:rPr>
                <w:b/>
                <w:color w:val="173B5F"/>
              </w:rPr>
              <w:t>Lecture package</w:t>
            </w:r>
          </w:p>
        </w:tc>
        <w:tc>
          <w:tcPr>
            <w:tcW w:type="dxa" w:w="4968"/>
          </w:tcPr>
          <w:p>
            <w:r>
              <w:t>AK-L19</w:t>
            </w:r>
          </w:p>
        </w:tc>
      </w:tr>
      <w:tr>
        <w:tc>
          <w:tcPr>
            <w:tcW w:type="dxa" w:w="4968"/>
            <w:shd w:fill="F5F0E6"/>
          </w:tcPr>
          <w:p>
            <w:r>
              <w:rPr>
                <w:b/>
                <w:color w:val="173B5F"/>
              </w:rPr>
              <w:t>Source</w:t>
            </w:r>
          </w:p>
        </w:tc>
        <w:tc>
          <w:tcPr>
            <w:tcW w:type="dxa" w:w="4968"/>
          </w:tcPr>
          <w:p>
            <w:r>
              <w:t>Breakout from Lecture I: From c. 1800 to the End of the Culture System / PDF Low Res-0010</w:t>
            </w:r>
          </w:p>
        </w:tc>
      </w:tr>
      <w:tr>
        <w:tc>
          <w:tcPr>
            <w:tcW w:type="dxa" w:w="4968"/>
            <w:shd w:fill="F5F0E6"/>
          </w:tcPr>
          <w:p>
            <w:r>
              <w:rPr>
                <w:b/>
                <w:color w:val="173B5F"/>
              </w:rPr>
              <w:t>Prepared resource type</w:t>
            </w:r>
          </w:p>
        </w:tc>
        <w:tc>
          <w:tcPr>
            <w:tcW w:type="dxa" w:w="4968"/>
          </w:tcPr>
          <w:p>
            <w:r>
              <w:t>Clean Transcript</w:t>
            </w:r>
          </w:p>
        </w:tc>
      </w:tr>
      <w:tr>
        <w:tc>
          <w:tcPr>
            <w:tcW w:type="dxa" w:w="4968"/>
            <w:shd w:fill="F5F0E6"/>
          </w:tcPr>
          <w:p>
            <w:r>
              <w:rPr>
                <w:b/>
                <w:color w:val="173B5F"/>
              </w:rPr>
              <w:t>Status</w:t>
            </w:r>
          </w:p>
        </w:tc>
        <w:tc>
          <w:tcPr>
            <w:tcW w:type="dxa" w:w="4968"/>
          </w:tcPr>
          <w:p>
            <w:r>
              <w:t>Working clean copy - final scholarly proofing recommended</w:t>
            </w:r>
          </w:p>
        </w:tc>
      </w:tr>
    </w:tbl>
    <w:p/>
    <w:p>
      <w:pPr>
        <w:pStyle w:val="Heading2"/>
      </w:pPr>
      <w:r>
        <w:t>Context: reform, direct rule and Java before 1825</w:t>
      </w:r>
    </w:p>
    <w:p>
      <w:r>
        <w:t>After the dissolution of the Dutch East India Company, the Dutch state inherited responsibility for the government of the East Indies. Reformers such as Dirk van Hogendorp had argued for direct administration and the abolition of contingencies and forced deliveries, but conservative interests ensured that much of the older VOC system remained in place for a time.</w:t>
      </w:r>
    </w:p>
    <w:p>
      <w:r>
        <w:t>The Napoleonic and British interlude changed the administrative landscape. Daendels sought to govern Java more directly, reduced the Javanese regents to the position of civil servants subordinate to Dutch officials, expanded roads and military infrastructure, and intensified forced coffee cultivation. Raffles, during British rule, pushed further toward direct administration, abolished or absorbed some older polities, and introduced the land-rent system, declaring government ownership of land and treating Javanese cultivators as tenants.</w:t>
      </w:r>
    </w:p>
    <w:p>
      <w:r>
        <w:t>When the Dutch returned in 1816, they retained parts of Raffles's land-rent system and continued the reduction of regental autonomy. The major trend was toward direct government. Professor Kumar notes the significance of this shift: in 1808 about sixty per cent of Java was under direct Dutch rule, but by 1830 this had increased to about ninety-three per cent.</w:t>
      </w:r>
    </w:p>
    <w:p>
      <w:pPr>
        <w:pStyle w:val="Heading2"/>
      </w:pPr>
      <w:r>
        <w:t>The outbreak of the Java War</w:t>
      </w:r>
    </w:p>
    <w:p>
      <w:r>
        <w:t>The situation suddenly blew up with the outbreak of the Java War, which ravaged Java for five years between 1825 and 1830. The war arose in a setting of expanding Dutch administrative control, altered court politics, land-rent pressures and growing interference in Javanese aristocratic and religious life.</w:t>
      </w:r>
    </w:p>
    <w:p>
      <w:r>
        <w:t>The rebel leader was Prince Dipanagara of the Javanese principality of Jogjakarta. His succession claims formed part of the background. When Dipanagara's father, Amangku Mangkubuwana III, died in 1814, he was succeeded not by Dipanagara but by Dipanagara's younger brother, whose mother was a queen of higher rank. Raffles had apparently promised Dipanagara that he would succeed if his brother died first. When that brother did die, the Dutch had returned and placed the brother's two-year-old son on the throne. Hall suggests that the Dutch may have been genuinely ignorant of Raffles's promise, since they appointed Dipanagara as one of the guardians of the young sultan.</w:t>
      </w:r>
    </w:p>
    <w:p>
      <w:r>
        <w:t>Professor Kumar is careful not to reduce the rebellion to disappointed succession hopes. What finally induced Dipanagara to rebel was the Dutch decision to drive a road across part of his property where there was a sacred tomb. The incident crystallised deeper grievances: intrusion into sacred space, interference in Javanese political arrangements and the weakening of established aristocratic-religious authority.</w:t>
      </w:r>
    </w:p>
    <w:p>
      <w:pPr>
        <w:pStyle w:val="Heading2"/>
      </w:pPr>
      <w:r>
        <w:t>Dipanagara’s religious and Javanese world</w:t>
      </w:r>
    </w:p>
    <w:p>
      <w:r>
        <w:t>Dipanagara's autobiography gives a rich insight into his motivation. Professor Kumar stresses the syncretism of Islamic orthodoxy and Javanese tradition in his thought and action. In his youth he moved from one pesantren to another and frequently went into the mountains to perform ascetic exercises in caves.</w:t>
      </w:r>
    </w:p>
    <w:p>
      <w:r>
        <w:t>He described visions that shaped his sense of mission. One was a vision of Sunan Kalijaga, a sixteenth-century wali associated with the conversion of Java to Islam. Another involved a summons to appear before the Ratu Adil, the Just King or messianic figure of Javanese expectation. C. C. Berg associated the Ratu Adil with Javanese Buddhism, identifying him with the bodhisattva Maitreya; but in Dipanagara's own account the figure appears in Islamic form, dressed like an Arab.</w:t>
      </w:r>
    </w:p>
    <w:p>
      <w:r>
        <w:t>The Ratu Adil tells Dipanagara: 'You will lead my warriors on Java, and if anyone should ask you, your mandate is the warrant.' The vision is accompanied by ominous phenomena - bats and owls screeching, the sea burning, a great thunderous noise - and the Ratu Adil's face is described as too bright for a man to look upon.</w:t>
      </w:r>
    </w:p>
    <w:p>
      <w:pPr>
        <w:pStyle w:val="Heading2"/>
      </w:pPr>
      <w:r>
        <w:t>Guerrilla war and Dutch victory</w:t>
      </w:r>
    </w:p>
    <w:p>
      <w:r>
        <w:t>During the five years of the war there were no pitched battles. Dipanagara and his allies were effective in guerrilla tactics, and the Dutch took time to gain the upper hand. The war became one of the most destructive conflicts in nineteenth-century Java and forced the Dutch to reorganise their strategy.</w:t>
      </w:r>
    </w:p>
    <w:p>
      <w:r>
        <w:t>In 1829 Dipanagara's two chief allies surrendered. In 1830 Dipanagara agreed to negotiate, but at the meeting he was treacherously arrested by the Dutch general. He was exiled to Celebes, where he died in 1855. It was in exile that he wrote his autobiography.</w:t>
      </w:r>
    </w:p>
    <w:p>
      <w:r>
        <w:t>The war had major consequences. It devastated Java, deepened Dutch determination to secure direct control, and left the colonial government in severe financial difficulty. This financial crisis formed the immediate background to the appointment of Johannes van den Bosch and the introduction of the Culture System in 1830.</w:t>
      </w:r>
    </w:p>
    <w:p>
      <w:pPr>
        <w:pStyle w:val="Heading2"/>
      </w:pPr>
      <w:r>
        <w:t>Archive note</w:t>
      </w:r>
    </w:p>
    <w:p>
      <w:r>
        <w:t>This resource pack extracts the Dipanagara and Java War material from the longer lecture 'From c. 1800 to the End of the Culture System.' It is presented separately because the Java War is one of the central bridges between localised resistance, Javanese religious-political tradition and later Indonesian nationalist memory.</w:t>
      </w:r>
    </w:p>
    <w:tbl>
      <w:tblPr>
        <w:tblStyle w:val="TableGrid"/>
        <w:tblW w:type="auto" w:w="0"/>
        <w:tblLook w:firstColumn="1" w:firstRow="1" w:lastColumn="0" w:lastRow="0" w:noHBand="0" w:noVBand="1" w:val="04A0"/>
      </w:tblPr>
      <w:tblGrid>
        <w:gridCol w:w="9936"/>
      </w:tblGrid>
      <w:tr>
        <w:tc>
          <w:tcPr>
            <w:tcW w:type="dxa" w:w="9936"/>
            <w:shd w:fill="EAF4F8"/>
          </w:tcPr>
          <w:p>
            <w:r>
              <w:rPr>
                <w:b/>
                <w:color w:val="173B5F"/>
                <w:sz w:val="24"/>
              </w:rPr>
              <w:t>Technical Vitality: Ratu Adil</w:t>
            </w:r>
          </w:p>
          <w:p>
            <w:r>
              <w:t>The Ratu Adil, or Just King, is a messianic figure in Javanese political expectation. In Dipanagara’s account, this figure appears in Islamic form and authorises his mission to lead warriors on Java.</w:t>
            </w:r>
          </w:p>
        </w:tc>
      </w:tr>
    </w:tbl>
    <w:p/>
    <w:tbl>
      <w:tblPr>
        <w:tblStyle w:val="TableGrid"/>
        <w:tblW w:type="auto" w:w="0"/>
        <w:tblLook w:firstColumn="1" w:firstRow="1" w:lastColumn="0" w:lastRow="0" w:noHBand="0" w:noVBand="1" w:val="04A0"/>
      </w:tblPr>
      <w:tblGrid>
        <w:gridCol w:w="9936"/>
      </w:tblGrid>
      <w:tr>
        <w:tc>
          <w:tcPr>
            <w:tcW w:type="dxa" w:w="9936"/>
            <w:shd w:fill="EAF4F8"/>
          </w:tcPr>
          <w:p>
            <w:r>
              <w:rPr>
                <w:b/>
                <w:color w:val="173B5F"/>
                <w:sz w:val="24"/>
              </w:rPr>
              <w:t>Technical Vitality: Pesantren</w:t>
            </w:r>
          </w:p>
          <w:p>
            <w:r>
              <w:t>A pesantren is an Islamic boarding school or religious learning community in Java. Dipanagara’s youthful movement between pesantren shows the depth of his connection to Islamic learning and ascetic discipline.</w:t>
            </w:r>
          </w:p>
        </w:tc>
      </w:tr>
    </w:tbl>
    <w:p/>
    <w:p>
      <w:pPr>
        <w:pStyle w:val="Heading2"/>
      </w:pPr>
      <w:r>
        <w:t>Proofing note</w:t>
      </w:r>
    </w:p>
    <w:p>
      <w:r>
        <w:t>Check spellings and terms against the original scan before final public release, especially Dipanagara/Diponegoro, Jogjakarta/Yogyakarta, Sunan Kalijaga/Kalidjaga, Ratu Adil, pesantren, Celebes/Sulawesi and Mangkubuwana/Hamengkubuwana.</w:t>
      </w:r>
    </w:p>
    <w:sectPr w:rsidR="00FC693F" w:rsidRPr="0006063C" w:rsidSect="00034616">
      <w:pgSz w:w="12240" w:h="15840"/>
      <w:pgMar w:top="1080" w:right="1152" w:bottom="1080" w:left="1152"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60" w:line="269" w:lineRule="auto"/>
    </w:pPr>
    <w:rPr>
      <w:rFonts w:ascii="Garamond" w:hAnsi="Garamond" w:eastAsia="Garamond"/>
      <w:sz w:val="23"/>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200" w:after="120"/>
      <w:outlineLvl w:val="0"/>
    </w:pPr>
    <w:rPr>
      <w:rFonts w:asciiTheme="majorHAnsi" w:eastAsiaTheme="majorEastAsia" w:hAnsiTheme="majorHAnsi" w:cstheme="majorBidi" w:ascii="Garamond" w:hAnsi="Garamond" w:eastAsia="Garamond"/>
      <w:b/>
      <w:bCs/>
      <w:color w:val="173B5F"/>
      <w:sz w:val="40"/>
      <w:szCs w:val="28"/>
    </w:rPr>
  </w:style>
  <w:style w:type="paragraph" w:styleId="Heading2">
    <w:name w:val="heading 2"/>
    <w:basedOn w:val="Normal"/>
    <w:next w:val="Normal"/>
    <w:link w:val="Heading2Char"/>
    <w:uiPriority w:val="9"/>
    <w:unhideWhenUsed/>
    <w:qFormat/>
    <w:rsid w:val="00FC693F"/>
    <w:pPr>
      <w:keepNext/>
      <w:keepLines/>
      <w:spacing w:before="200" w:after="120"/>
      <w:outlineLvl w:val="1"/>
    </w:pPr>
    <w:rPr>
      <w:rFonts w:asciiTheme="majorHAnsi" w:eastAsiaTheme="majorEastAsia" w:hAnsiTheme="majorHAnsi" w:cstheme="majorBidi" w:ascii="Garamond" w:hAnsi="Garamond" w:eastAsia="Garamond"/>
      <w:b/>
      <w:bCs/>
      <w:color w:val="173B5F"/>
      <w:sz w:val="30"/>
      <w:szCs w:val="26"/>
    </w:rPr>
  </w:style>
  <w:style w:type="paragraph" w:styleId="Heading3">
    <w:name w:val="heading 3"/>
    <w:basedOn w:val="Normal"/>
    <w:next w:val="Normal"/>
    <w:link w:val="Heading3Char"/>
    <w:uiPriority w:val="9"/>
    <w:unhideWhenUsed/>
    <w:qFormat/>
    <w:rsid w:val="00FC693F"/>
    <w:pPr>
      <w:keepNext/>
      <w:keepLines/>
      <w:spacing w:before="200" w:after="120"/>
      <w:outlineLvl w:val="2"/>
    </w:pPr>
    <w:rPr>
      <w:rFonts w:asciiTheme="majorHAnsi" w:eastAsiaTheme="majorEastAsia" w:hAnsiTheme="majorHAnsi" w:cstheme="majorBidi" w:ascii="Garamond" w:hAnsi="Garamond" w:eastAsia="Garamond"/>
      <w:b/>
      <w:bCs/>
      <w:color w:val="173B5F"/>
      <w:sz w:val="25"/>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