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C5943A"/>
          <w:sz w:val="18"/>
        </w:rPr>
        <w:t>Professor Ann Kumar Southeast Asian Civilisation Archive</w:t>
      </w:r>
    </w:p>
    <w:p>
      <w:pPr>
        <w:jc w:val="center"/>
      </w:pPr>
      <w:r>
        <w:rPr>
          <w:b/>
          <w:color w:val="1B3A5C"/>
          <w:sz w:val="40"/>
        </w:rPr>
        <w:t>AK-L18: Surapati: Rebel, Warrior and Legend</w:t>
      </w:r>
    </w:p>
    <w:p>
      <w:pPr>
        <w:jc w:val="center"/>
      </w:pPr>
      <w:r>
        <w:rPr>
          <w:i/>
          <w:color w:val="4A5568"/>
          <w:sz w:val="22"/>
        </w:rPr>
        <w:t>Web Publishing Notes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96"/>
        <w:gridCol w:w="4896"/>
      </w:tblGrid>
      <w:tr>
        <w:tc>
          <w:tcPr>
            <w:tcW w:type="dxa" w:w="2592"/>
            <w:shd w:fill="F5F0E6"/>
            <w:vAlign w:val="top"/>
          </w:tcPr>
          <w:p>
            <w:r/>
            <w:r>
              <w:rPr>
                <w:b/>
                <w:sz w:val="20"/>
              </w:rPr>
              <w:t>Suggested slug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20"/>
              </w:rPr>
              <w:t>/surapati-rebel-warrior-and-legend/</w:t>
            </w:r>
          </w:p>
        </w:tc>
      </w:tr>
      <w:tr>
        <w:tc>
          <w:tcPr>
            <w:tcW w:type="dxa" w:w="2592"/>
            <w:shd w:fill="F5F0E6"/>
            <w:vAlign w:val="top"/>
          </w:tcPr>
          <w:p>
            <w:r/>
            <w:r>
              <w:rPr>
                <w:b/>
                <w:sz w:val="20"/>
              </w:rPr>
              <w:t>Archive row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20"/>
              </w:rPr>
              <w:t>AK-L18</w:t>
            </w:r>
          </w:p>
        </w:tc>
      </w:tr>
      <w:tr>
        <w:tc>
          <w:tcPr>
            <w:tcW w:type="dxa" w:w="2592"/>
            <w:shd w:fill="F5F0E6"/>
            <w:vAlign w:val="top"/>
          </w:tcPr>
          <w:p>
            <w:r/>
            <w:r>
              <w:rPr>
                <w:b/>
                <w:sz w:val="20"/>
              </w:rPr>
              <w:t>Hub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b w:val="0"/>
                <w:sz w:val="20"/>
              </w:rPr>
              <w:t>Nationalist Awakening; cross-link to Colonial Engine and Indigenous Sovereignty</w:t>
            </w:r>
          </w:p>
        </w:tc>
      </w:tr>
    </w:tbl>
    <w:p/>
    <w:p>
      <w:pPr>
        <w:pStyle w:val="Heading2"/>
      </w:pPr>
      <w:r>
        <w:t>Standard file names</w:t>
      </w:r>
    </w:p>
    <w:p>
      <w:pPr>
        <w:pStyle w:val="ListBullet"/>
      </w:pPr>
      <w:r>
        <w:t>AK-L18_Surapati-Rebel-Warrior-and-Legend_Original-Lecture-Notes.pdf</w:t>
      </w:r>
    </w:p>
    <w:p>
      <w:pPr>
        <w:pStyle w:val="ListBullet"/>
      </w:pPr>
      <w:r>
        <w:t>AK-L18_Surapati-Rebel-Warrior-and-Legend_Clean-Transcript.docx</w:t>
      </w:r>
    </w:p>
    <w:p>
      <w:pPr>
        <w:pStyle w:val="ListBullet"/>
      </w:pPr>
      <w:r>
        <w:t>AK-L18_Surapati-Rebel-Warrior-and-Legend_Lecture-Synopsis.docx</w:t>
      </w:r>
    </w:p>
    <w:p>
      <w:pPr>
        <w:pStyle w:val="ListBullet"/>
      </w:pPr>
      <w:r>
        <w:t>AK-L18_Surapati-Rebel-Warrior-and-Legend_Further-Reading.docx</w:t>
      </w:r>
    </w:p>
    <w:p>
      <w:pPr>
        <w:pStyle w:val="ListBullet"/>
      </w:pPr>
      <w:r>
        <w:t>AK-L18_Surapati-Rebel-Warrior-and-Legend_Web-Publishing-Notes.docx</w:t>
      </w:r>
    </w:p>
    <w:p>
      <w:pPr>
        <w:pStyle w:val="Heading2"/>
      </w:pPr>
      <w:r>
        <w:t>Recommended public link labels</w:t>
      </w:r>
    </w:p>
    <w:p>
      <w:pPr>
        <w:pStyle w:val="ListBullet"/>
      </w:pPr>
      <w:r>
        <w:t>Lecture Synopsis</w:t>
      </w:r>
    </w:p>
    <w:p>
      <w:pPr>
        <w:pStyle w:val="ListBullet"/>
      </w:pPr>
      <w:r>
        <w:t>Clean Transcript</w:t>
      </w:r>
    </w:p>
    <w:p>
      <w:pPr>
        <w:pStyle w:val="ListBullet"/>
      </w:pPr>
      <w:r>
        <w:t>Original Lecture Notes</w:t>
      </w:r>
    </w:p>
    <w:p>
      <w:pPr>
        <w:pStyle w:val="ListBullet"/>
      </w:pPr>
      <w:r>
        <w:t>Further Reading</w:t>
      </w:r>
    </w:p>
    <w:p>
      <w:pPr>
        <w:pStyle w:val="Heading2"/>
      </w:pPr>
      <w:r>
        <w:t>SEO title</w:t>
      </w:r>
    </w:p>
    <w:p>
      <w:r>
        <w:t>Surapati: Rebel, Warrior and Legend | Professor Ann Kumar Archive</w:t>
      </w:r>
    </w:p>
    <w:p>
      <w:pPr>
        <w:pStyle w:val="Heading2"/>
      </w:pPr>
      <w:r>
        <w:t>Meta description</w:t>
      </w:r>
    </w:p>
    <w:p>
      <w:r>
        <w:t>Professor Ann Kumar’s lecture resource on Surapati, the seventeenth-century anti-Dutch figure linking Batavia, Banten, Mataram, Pasuruan and wider Islamic trading networks.</w:t>
      </w:r>
    </w:p>
    <w:p>
      <w:pPr>
        <w:pStyle w:val="Heading2"/>
      </w:pPr>
      <w:r>
        <w:t>Suggested image prompts</w:t>
      </w:r>
    </w:p>
    <w:p>
      <w:pPr>
        <w:pStyle w:val="ListBullet"/>
      </w:pPr>
      <w:r>
        <w:t>Conceptual map: “Surapati’s Journey.” Route from Bali/Batavia uplands to Banten, Mataram/Kartasura and Pasuruan, with side links to Makassar, Malay traders, Chinese communities and Siam.</w:t>
      </w:r>
    </w:p>
    <w:p>
      <w:pPr>
        <w:pStyle w:val="ListBullet"/>
      </w:pPr>
      <w:r>
        <w:t>Infographic: “Surapati as Connector.” Centre: Surapati. Surrounding nodes: Balinese origins, VOC army, Banten party, Sheikh Yusuf, Mataram court, Captain Tack, Pasuruan refuge, Islamic trading communities.</w:t>
      </w:r>
    </w:p>
    <w:p>
      <w:pPr>
        <w:pStyle w:val="Heading2"/>
      </w:pPr>
      <w:r>
        <w:t>Alt text suggestion</w:t>
      </w:r>
    </w:p>
    <w:p>
      <w:r>
        <w:t>Conceptual map of Surapati’s movements across seventeenth-century Java, linking Batavia, Banten, Mataram and Pasuruan with wider anti-Dutch trading networks.</w:t>
      </w:r>
    </w:p>
    <w:p>
      <w:pPr>
        <w:pStyle w:val="Heading2"/>
      </w:pPr>
      <w:r>
        <w:t>Archives table row pattern</w:t>
      </w:r>
    </w:p>
    <w:p>
      <w:r>
        <w:t>&lt;tr&gt;</w:t>
        <w:br/>
        <w:t xml:space="preserve">  &lt;td&gt;&lt;a href="/surapati-rebel-warrior-and-legend/"&gt;Surapati: Rebel, Warrior and Legend&lt;/a&gt;&lt;/td&gt;</w:t>
        <w:br/>
        <w:t xml:space="preserve">  &lt;td&gt;PDF 004 breakout&lt;/td&gt;</w:t>
        <w:br/>
        <w:t xml:space="preserve">  &lt;td&gt;&lt;a href="ORIGINAL-PDF-URL"&gt;PDF&lt;/a&gt;&lt;/td&gt;</w:t>
        <w:br/>
        <w:t xml:space="preserve">  &lt;td&gt;&lt;a href="CLEAN-TRANSCRIPT-URL"&gt;DOCX&lt;/a&gt;&lt;/td&gt;</w:t>
        <w:br/>
        <w:t xml:space="preserve">  &lt;td&gt;&lt;a href="LECTURE-SYNOPSIS-URL"&gt;DOCX&lt;/a&gt;&lt;/td&gt;</w:t>
        <w:br/>
        <w:t xml:space="preserve">  &lt;td&gt;&lt;a href="FURTHER-READING-URL"&gt;DOCX&lt;/a&gt;&lt;/td&gt;</w:t>
        <w:br/>
        <w:t>&lt;/tr&gt;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9792"/>
      </w:tblGrid>
      <w:tr>
        <w:tc>
          <w:tcPr>
            <w:tcW w:type="dxa" w:w="9792"/>
            <w:shd w:fill="D5E8F0"/>
          </w:tcPr>
          <w:p>
            <w:r>
              <w:rPr>
                <w:b/>
                <w:color w:val="1B3A5C"/>
                <w:sz w:val="22"/>
              </w:rPr>
              <w:t>Publishing note</w:t>
            </w:r>
          </w:p>
          <w:p>
            <w:r>
              <w:rPr>
                <w:sz w:val="20"/>
              </w:rPr>
              <w:t>This page should cross-link to The Dutch Strategy in the Seventeenth Century, Makassar and the Bongaya Treaty, The Rise of Mataram, and the later Nationalist Awakening hub.</w:t>
            </w:r>
          </w:p>
        </w:tc>
      </w:tr>
    </w:tbl>
    <w:p/>
    <w:sectPr w:rsidR="00FC693F" w:rsidRPr="0006063C" w:rsidSect="00034616">
      <w:pgSz w:w="12240" w:h="15840"/>
      <w:pgMar w:top="1080" w:right="1224" w:bottom="1080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60" w:line="276" w:lineRule="auto"/>
    </w:pPr>
    <w:rPr>
      <w:rFonts w:ascii="Georgia" w:hAnsi="Georgia" w:eastAsia="Georgia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Georgia" w:hAnsi="Georgia" w:eastAsia="Georgia"/>
      <w:b/>
      <w:bCs/>
      <w:color w:val="1B3A5C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