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C5943A"/>
          <w:sz w:val="18"/>
        </w:rPr>
        <w:t>Professor Ann Kumar Southeast Asian Civilisation Archive</w:t>
      </w:r>
    </w:p>
    <w:p>
      <w:pPr>
        <w:jc w:val="center"/>
      </w:pPr>
      <w:r>
        <w:rPr>
          <w:b/>
          <w:color w:val="1B3A5C"/>
          <w:sz w:val="40"/>
        </w:rPr>
        <w:t>AK-L18: Surapati: Rebel, Warrior and Legend</w:t>
      </w:r>
    </w:p>
    <w:p>
      <w:pPr>
        <w:jc w:val="center"/>
      </w:pPr>
      <w:r>
        <w:rPr>
          <w:i/>
          <w:color w:val="4A5568"/>
          <w:sz w:val="22"/>
        </w:rPr>
        <w:t>Lecture Synopsis</w:t>
      </w:r>
    </w:p>
    <w:p/>
    <w:tbl>
      <w:tblPr>
        <w:tblStyle w:val="TableGrid"/>
        <w:tblW w:type="auto" w:w="0"/>
        <w:jc w:val="center"/>
        <w:tblLook w:firstColumn="1" w:firstRow="1" w:lastColumn="0" w:lastRow="0" w:noHBand="0" w:noVBand="1" w:val="04A0"/>
      </w:tblPr>
      <w:tblGrid>
        <w:gridCol w:w="4896"/>
        <w:gridCol w:w="4896"/>
      </w:tblGrid>
      <w:tr>
        <w:tc>
          <w:tcPr>
            <w:tcW w:type="dxa" w:w="2592"/>
            <w:shd w:fill="F5F0E6"/>
            <w:vAlign w:val="top"/>
          </w:tcPr>
          <w:p>
            <w:r/>
            <w:r>
              <w:rPr>
                <w:b/>
                <w:sz w:val="20"/>
              </w:rPr>
              <w:t>Purpose</w:t>
            </w:r>
          </w:p>
        </w:tc>
        <w:tc>
          <w:tcPr>
            <w:tcW w:type="dxa" w:w="6912"/>
            <w:vAlign w:val="top"/>
          </w:tcPr>
          <w:p>
            <w:r/>
            <w:r>
              <w:rPr>
                <w:b w:val="0"/>
                <w:sz w:val="20"/>
              </w:rPr>
              <w:t>Concise student-facing summary</w:t>
            </w:r>
          </w:p>
        </w:tc>
      </w:tr>
      <w:tr>
        <w:tc>
          <w:tcPr>
            <w:tcW w:type="dxa" w:w="2592"/>
            <w:shd w:fill="F5F0E6"/>
            <w:vAlign w:val="top"/>
          </w:tcPr>
          <w:p>
            <w:r/>
            <w:r>
              <w:rPr>
                <w:b/>
                <w:sz w:val="20"/>
              </w:rPr>
              <w:t>Source</w:t>
            </w:r>
          </w:p>
        </w:tc>
        <w:tc>
          <w:tcPr>
            <w:tcW w:type="dxa" w:w="6912"/>
            <w:vAlign w:val="top"/>
          </w:tcPr>
          <w:p>
            <w:r/>
            <w:r>
              <w:rPr>
                <w:b w:val="0"/>
                <w:sz w:val="20"/>
              </w:rPr>
              <w:t>PDF Low Res-0004 breakout</w:t>
            </w:r>
          </w:p>
        </w:tc>
      </w:tr>
      <w:tr>
        <w:tc>
          <w:tcPr>
            <w:tcW w:type="dxa" w:w="2592"/>
            <w:shd w:fill="F5F0E6"/>
            <w:vAlign w:val="top"/>
          </w:tcPr>
          <w:p>
            <w:r/>
            <w:r>
              <w:rPr>
                <w:b/>
                <w:sz w:val="20"/>
              </w:rPr>
              <w:t>Lecture role</w:t>
            </w:r>
          </w:p>
        </w:tc>
        <w:tc>
          <w:tcPr>
            <w:tcW w:type="dxa" w:w="6912"/>
            <w:vAlign w:val="top"/>
          </w:tcPr>
          <w:p>
            <w:r/>
            <w:r>
              <w:rPr>
                <w:b w:val="0"/>
                <w:sz w:val="20"/>
              </w:rPr>
              <w:t>Connective resistance figure across archipelago</w:t>
            </w:r>
          </w:p>
        </w:tc>
      </w:tr>
    </w:tbl>
    <w:p/>
    <w:p>
      <w:pPr>
        <w:pStyle w:val="Heading2"/>
      </w:pPr>
      <w:r>
        <w:t>Overview</w:t>
      </w:r>
    </w:p>
    <w:p>
      <w:r>
        <w:t>This lecture package presents Surapati as one of the most important personal connectors in Professor Kumar’s account of seventeenth-century Indonesian history. At a time when the archipelago contained many separate political units rather than a single Indonesian state, Surapati’s career linked Batavia, Banten, Mataram, Makassar, Pasuruan, Malay trading communities, Chinese anti-Dutch elements and the VOC.</w:t>
      </w:r>
    </w:p>
    <w:p>
      <w:pPr>
        <w:pStyle w:val="Heading2"/>
      </w:pPr>
      <w:r>
        <w:t>Core argument</w:t>
      </w:r>
    </w:p>
    <w:p>
      <w:r>
        <w:t>Professor Kumar uses Surapati to complicate the idea that pre-modern Indonesia was only a collection of unrelated local histories. Although there was no unified state structure, Surapati’s career suggests channels of communication and coordination among groups whose interests were threatened by Dutch monopoly and intervention.</w:t>
      </w:r>
    </w:p>
    <w:p>
      <w:pPr>
        <w:pStyle w:val="Heading2"/>
      </w:pPr>
      <w:r>
        <w:t>Key stages</w:t>
      </w:r>
    </w:p>
    <w:p>
      <w:pPr>
        <w:pStyle w:val="ListBullet"/>
      </w:pPr>
      <w:r>
        <w:t>Probable origin as a Balinese slave brought to Batavia.</w:t>
      </w:r>
    </w:p>
    <w:p>
      <w:pPr>
        <w:pStyle w:val="ListBullet"/>
      </w:pPr>
      <w:r>
        <w:t>Leadership among runaway Balinese in the uplands above Batavia.</w:t>
      </w:r>
    </w:p>
    <w:p>
      <w:pPr>
        <w:pStyle w:val="ListBullet"/>
      </w:pPr>
      <w:r>
        <w:t>Temporary service in the VOC army and involvement in Banten affairs.</w:t>
      </w:r>
    </w:p>
    <w:p>
      <w:pPr>
        <w:pStyle w:val="ListBullet"/>
      </w:pPr>
      <w:r>
        <w:t>Break with the VOC after a humiliating demand over Abulfatah’s kris.</w:t>
      </w:r>
    </w:p>
    <w:p>
      <w:pPr>
        <w:pStyle w:val="ListBullet"/>
      </w:pPr>
      <w:r>
        <w:t>Flight to Mataram and alliance with an anti-Dutch court faction.</w:t>
      </w:r>
    </w:p>
    <w:p>
      <w:pPr>
        <w:pStyle w:val="ListBullet"/>
      </w:pPr>
      <w:r>
        <w:t>Attack on Captain Tack’s expedition, causing major VOC losses.</w:t>
      </w:r>
    </w:p>
    <w:p>
      <w:pPr>
        <w:pStyle w:val="ListBullet"/>
      </w:pPr>
      <w:r>
        <w:t>Creation of a semi-independent centre at Pasuruan in East Java.</w:t>
      </w:r>
    </w:p>
    <w:p>
      <w:pPr>
        <w:pStyle w:val="ListBullet"/>
      </w:pPr>
      <w:r>
        <w:t>Attraction of Javanese, Makassarese, Malay and Chinese anti-Dutch elements.</w:t>
      </w:r>
    </w:p>
    <w:p>
      <w:pPr>
        <w:pStyle w:val="ListBullet"/>
      </w:pPr>
      <w:r>
        <w:t>Death in battle in 1706, followed by continued resistance by his descendants.</w:t>
      </w:r>
    </w:p>
    <w:p>
      <w:pPr>
        <w:pStyle w:val="Heading2"/>
      </w:pPr>
      <w:r>
        <w:t>Historical significance</w:t>
      </w:r>
    </w:p>
    <w:p>
      <w:r>
        <w:t>Surapati’s importance lies not only in armed resistance, but in his ability to move across the social and political worlds of seventeenth-century Indonesia. He appears as a non-royal actor, a military leader, a fugitive, a court ally, a regional ruler and a symbol of later national memory. His life offers a narrative spine through which students can see how local conflicts, VOC monopoly, Islamic trading communities and anti-Dutch networks intersected.</w:t>
      </w:r>
    </w:p>
    <w:tbl>
      <w:tblPr>
        <w:tblStyle w:val="TableGrid"/>
        <w:tblW w:type="auto" w:w="0"/>
        <w:jc w:val="center"/>
        <w:tblLook w:firstColumn="1" w:firstRow="1" w:lastColumn="0" w:lastRow="0" w:noHBand="0" w:noVBand="1" w:val="04A0"/>
      </w:tblPr>
      <w:tblGrid>
        <w:gridCol w:w="9792"/>
      </w:tblGrid>
      <w:tr>
        <w:tc>
          <w:tcPr>
            <w:tcW w:type="dxa" w:w="9792"/>
            <w:shd w:fill="F5F0E6"/>
          </w:tcPr>
          <w:p>
            <w:r>
              <w:rPr>
                <w:b/>
                <w:color w:val="1B3A5C"/>
                <w:sz w:val="22"/>
              </w:rPr>
              <w:t>Teaching use</w:t>
            </w:r>
          </w:p>
          <w:p>
            <w:r>
              <w:rPr>
                <w:sz w:val="20"/>
              </w:rPr>
              <w:t>This synopsis is suitable for a lecture-page download, a study handout, or a short introduction to the Surapati archive page.</w:t>
            </w:r>
          </w:p>
        </w:tc>
      </w:tr>
    </w:tbl>
    <w:p/>
    <w:sectPr w:rsidR="00FC693F" w:rsidRPr="0006063C" w:rsidSect="00034616">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line="276" w:lineRule="auto"/>
    </w:pPr>
    <w:rPr>
      <w:rFonts w:ascii="Georgia" w:hAnsi="Georgia" w:eastAsia="Georgia"/>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eastAsia="Georgia"/>
      <w:b/>
      <w:bCs/>
      <w:color w:val="1B3A5C"/>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eastAsia="Georgia"/>
      <w:b/>
      <w:bCs/>
      <w:color w:val="1B3A5C"/>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eastAsia="Georgia"/>
      <w:b/>
      <w:bCs/>
      <w:color w:val="1B3A5C"/>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