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5943A"/>
          <w:sz w:val="18"/>
        </w:rPr>
        <w:t>Professor Ann Kumar Southeast Asian Civilisation Archive</w:t>
      </w:r>
    </w:p>
    <w:p>
      <w:pPr>
        <w:jc w:val="center"/>
      </w:pPr>
      <w:r>
        <w:rPr>
          <w:b/>
          <w:color w:val="1B3A5C"/>
          <w:sz w:val="40"/>
        </w:rPr>
        <w:t>AK-L18: Surapati: Rebel, Warrior and Legend</w:t>
      </w:r>
    </w:p>
    <w:p>
      <w:pPr>
        <w:jc w:val="center"/>
      </w:pPr>
      <w:r>
        <w:rPr>
          <w:i/>
          <w:color w:val="4A5568"/>
          <w:sz w:val="22"/>
        </w:rPr>
        <w:t>Further Reading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2592"/>
            <w:shd w:fill="F5F0E6"/>
            <w:vAlign w:val="top"/>
          </w:tcPr>
          <w:p>
            <w:r/>
            <w:r>
              <w:rPr>
                <w:b/>
                <w:sz w:val="20"/>
              </w:rPr>
              <w:t>Purpose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20"/>
              </w:rPr>
              <w:t>Curated reading note</w:t>
            </w:r>
          </w:p>
        </w:tc>
      </w:tr>
      <w:tr>
        <w:tc>
          <w:tcPr>
            <w:tcW w:type="dxa" w:w="2592"/>
            <w:shd w:fill="F5F0E6"/>
            <w:vAlign w:val="top"/>
          </w:tcPr>
          <w:p>
            <w:r/>
            <w:r>
              <w:rPr>
                <w:b/>
                <w:sz w:val="20"/>
              </w:rPr>
              <w:t>Status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20"/>
              </w:rPr>
              <w:t>Working bibliography; publication details to be verified</w:t>
            </w:r>
          </w:p>
        </w:tc>
      </w:tr>
    </w:tbl>
    <w:p/>
    <w:p>
      <w:pPr>
        <w:pStyle w:val="Heading2"/>
      </w:pPr>
      <w:r>
        <w:t>Core reading</w:t>
      </w:r>
    </w:p>
    <w:p>
      <w:r>
        <w:rPr>
          <w:b/>
        </w:rPr>
        <w:t xml:space="preserve">Ann Kumar. </w:t>
      </w:r>
      <w:r>
        <w:t>Surapati: Man and Legend.</w:t>
      </w:r>
    </w:p>
    <w:p>
      <w:pPr>
        <w:ind w:left="360"/>
      </w:pPr>
      <w:r>
        <w:t>Essential for connecting the lecture material to Professor Kumar’s own later scholarship on Surapati as both historical actor and legendary figure.</w:t>
      </w:r>
    </w:p>
    <w:p>
      <w:r>
        <w:rPr>
          <w:b/>
        </w:rPr>
        <w:t xml:space="preserve">H. J. de Graaf. </w:t>
      </w:r>
      <w:r>
        <w:t>Works on seventeenth-century Java, Mataram and Dutch-Javanese relations.</w:t>
      </w:r>
    </w:p>
    <w:p>
      <w:pPr>
        <w:ind w:left="360"/>
      </w:pPr>
      <w:r>
        <w:t>Important for the Mataram context, Mangkurat II, Captain Tack and the wider Javanese wars.</w:t>
      </w:r>
    </w:p>
    <w:p>
      <w:r>
        <w:rPr>
          <w:b/>
        </w:rPr>
        <w:t xml:space="preserve">M. C. Ricklefs. </w:t>
      </w:r>
      <w:r>
        <w:t>A History of Modern Indonesia since c. 1200 and related works on Javanese history.</w:t>
      </w:r>
    </w:p>
    <w:p>
      <w:pPr>
        <w:ind w:left="360"/>
      </w:pPr>
      <w:r>
        <w:t>Useful for students needing a broad modern synthesis of the period.</w:t>
      </w:r>
    </w:p>
    <w:p>
      <w:r>
        <w:rPr>
          <w:b/>
        </w:rPr>
        <w:t xml:space="preserve">Anthony Reid. </w:t>
      </w:r>
      <w:r>
        <w:t>Works on Southeast Asian trade, commerce and the early modern archipelago.</w:t>
      </w:r>
    </w:p>
    <w:p>
      <w:pPr>
        <w:ind w:left="360"/>
      </w:pPr>
      <w:r>
        <w:t>Useful for understanding the trading communities and maritime networks that frame Surapati’s career.</w:t>
      </w:r>
    </w:p>
    <w:p>
      <w:r>
        <w:rPr>
          <w:b/>
        </w:rPr>
        <w:t xml:space="preserve">B. Schrieke. </w:t>
      </w:r>
      <w:r>
        <w:t>Indonesian Sociological Studies.</w:t>
      </w:r>
    </w:p>
    <w:p>
      <w:pPr>
        <w:ind w:left="360"/>
      </w:pPr>
      <w:r>
        <w:t>Relevant to the broader question of Islamisation, trading networks and social formations in the archipelago.</w:t>
      </w:r>
    </w:p>
    <w:p>
      <w:r>
        <w:rPr>
          <w:b/>
        </w:rPr>
        <w:t xml:space="preserve">Leonard Y. Andaya. </w:t>
      </w:r>
      <w:r>
        <w:t>Works on South Sulawesi and the eastern archipelago.</w:t>
      </w:r>
    </w:p>
    <w:p>
      <w:pPr>
        <w:ind w:left="360"/>
      </w:pPr>
      <w:r>
        <w:t>Useful for the Makassar and Buginese contexts that intersect with Surapati’s world through Sheikh Yusuf and Makassarese expatriates.</w:t>
      </w:r>
    </w:p>
    <w:p>
      <w:pPr>
        <w:pStyle w:val="Heading2"/>
      </w:pPr>
      <w:r>
        <w:t>Research directions</w:t>
      </w:r>
    </w:p>
    <w:p>
      <w:pPr>
        <w:pStyle w:val="ListBullet"/>
      </w:pPr>
      <w:r>
        <w:t>Surapati and the relationship between history and legend.</w:t>
      </w:r>
    </w:p>
    <w:p>
      <w:pPr>
        <w:pStyle w:val="ListBullet"/>
      </w:pPr>
      <w:r>
        <w:t>Banten, Sheikh Yusuf and Islamic exile networks.</w:t>
      </w:r>
    </w:p>
    <w:p>
      <w:pPr>
        <w:pStyle w:val="ListBullet"/>
      </w:pPr>
      <w:r>
        <w:t>Balinese slavery and Batavian social order.</w:t>
      </w:r>
    </w:p>
    <w:p>
      <w:pPr>
        <w:pStyle w:val="ListBullet"/>
      </w:pPr>
      <w:r>
        <w:t>Mataram’s debt to the VOC after the Trunajaya war.</w:t>
      </w:r>
    </w:p>
    <w:p>
      <w:pPr>
        <w:pStyle w:val="ListBullet"/>
      </w:pPr>
      <w:r>
        <w:t>Pasuruan as a refuge for multi-ethnic anti-Dutch groups.</w:t>
      </w:r>
    </w:p>
    <w:p>
      <w:pPr>
        <w:pStyle w:val="ListBullet"/>
      </w:pPr>
      <w:r>
        <w:t>The later making of Surapati as a national hero.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5F0E6"/>
          </w:tcPr>
          <w:p>
            <w:r>
              <w:rPr>
                <w:b/>
                <w:color w:val="1B3A5C"/>
                <w:sz w:val="22"/>
              </w:rPr>
              <w:t>Bibliographic caution</w:t>
            </w:r>
          </w:p>
          <w:p>
            <w:r>
              <w:rPr>
                <w:sz w:val="20"/>
              </w:rPr>
              <w:t>Full editions, page numbers and publication details should be verified before this reading note is converted into a formal academic bibliography.</w:t>
            </w:r>
          </w:p>
        </w:tc>
      </w:tr>
    </w:tbl>
    <w:p/>
    <w:sectPr w:rsidR="00FC693F" w:rsidRPr="0006063C" w:rsidSect="00034616">
      <w:pgSz w:w="12240" w:h="15840"/>
      <w:pgMar w:top="1080" w:right="1224" w:bottom="1080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76" w:lineRule="auto"/>
    </w:pPr>
    <w:rPr>
      <w:rFonts w:ascii="Georgia" w:hAnsi="Georgia" w:eastAsia="Georgia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