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jc w:val="center"/>
      </w:pPr>
      <w:r>
        <w:rPr>
          <w:b/>
          <w:color w:val="1B3A5C"/>
          <w:sz w:val="40"/>
        </w:rPr>
        <w:t>AK-L18: Surapati: Rebel, Warrior and Legend</w:t>
      </w:r>
    </w:p>
    <w:p>
      <w:pPr>
        <w:jc w:val="center"/>
      </w:pPr>
      <w:r>
        <w:rPr>
          <w:i/>
          <w:color w:val="4A5568"/>
          <w:sz w:val="22"/>
        </w:rPr>
        <w:t>Clean Transcript</w:t>
      </w:r>
    </w:p>
    <w:p/>
    <w:tbl>
      <w:tblPr>
        <w:tblStyle w:val="TableGrid"/>
        <w:tblW w:type="auto" w:w="0"/>
        <w:jc w:val="center"/>
        <w:tblLook w:firstColumn="1" w:firstRow="1" w:lastColumn="0" w:lastRow="0" w:noHBand="0" w:noVBand="1" w:val="04A0"/>
      </w:tblPr>
      <w:tblGrid>
        <w:gridCol w:w="4896"/>
        <w:gridCol w:w="4896"/>
      </w:tblGrid>
      <w:tr>
        <w:tc>
          <w:tcPr>
            <w:tcW w:type="dxa" w:w="2592"/>
            <w:shd w:fill="F5F0E6"/>
            <w:vAlign w:val="top"/>
          </w:tcPr>
          <w:p>
            <w:r/>
            <w:r>
              <w:rPr>
                <w:b/>
                <w:sz w:val="20"/>
              </w:rPr>
              <w:t>Lecture package</w:t>
            </w:r>
          </w:p>
        </w:tc>
        <w:tc>
          <w:tcPr>
            <w:tcW w:type="dxa" w:w="6912"/>
            <w:vAlign w:val="top"/>
          </w:tcPr>
          <w:p>
            <w:r/>
            <w:r>
              <w:rPr>
                <w:b w:val="0"/>
                <w:sz w:val="20"/>
              </w:rPr>
              <w:t>AK-L18</w:t>
            </w:r>
          </w:p>
        </w:tc>
      </w:tr>
      <w:tr>
        <w:tc>
          <w:tcPr>
            <w:tcW w:type="dxa" w:w="2592"/>
            <w:shd w:fill="F5F0E6"/>
            <w:vAlign w:val="top"/>
          </w:tcPr>
          <w:p>
            <w:r/>
            <w:r>
              <w:rPr>
                <w:b/>
                <w:sz w:val="20"/>
              </w:rPr>
              <w:t>Source file</w:t>
            </w:r>
          </w:p>
        </w:tc>
        <w:tc>
          <w:tcPr>
            <w:tcW w:type="dxa" w:w="6912"/>
            <w:vAlign w:val="top"/>
          </w:tcPr>
          <w:p>
            <w:r/>
            <w:r>
              <w:rPr>
                <w:b w:val="0"/>
                <w:sz w:val="20"/>
              </w:rPr>
              <w:t>PDF Low Res-0004 breakout</w:t>
            </w:r>
          </w:p>
        </w:tc>
      </w:tr>
      <w:tr>
        <w:tc>
          <w:tcPr>
            <w:tcW w:type="dxa" w:w="2592"/>
            <w:shd w:fill="F5F0E6"/>
            <w:vAlign w:val="top"/>
          </w:tcPr>
          <w:p>
            <w:r/>
            <w:r>
              <w:rPr>
                <w:b/>
                <w:sz w:val="20"/>
              </w:rPr>
              <w:t>Archive hub</w:t>
            </w:r>
          </w:p>
        </w:tc>
        <w:tc>
          <w:tcPr>
            <w:tcW w:type="dxa" w:w="6912"/>
            <w:vAlign w:val="top"/>
          </w:tcPr>
          <w:p>
            <w:r/>
            <w:r>
              <w:rPr>
                <w:b w:val="0"/>
                <w:sz w:val="20"/>
              </w:rPr>
              <w:t>Nationalist Awakening / Colonial Engine cross-link</w:t>
            </w:r>
          </w:p>
        </w:tc>
      </w:tr>
      <w:tr>
        <w:tc>
          <w:tcPr>
            <w:tcW w:type="dxa" w:w="2592"/>
            <w:shd w:fill="F5F0E6"/>
            <w:vAlign w:val="top"/>
          </w:tcPr>
          <w:p>
            <w:r/>
            <w:r>
              <w:rPr>
                <w:b/>
                <w:sz w:val="20"/>
              </w:rPr>
              <w:t>Status</w:t>
            </w:r>
          </w:p>
        </w:tc>
        <w:tc>
          <w:tcPr>
            <w:tcW w:type="dxa" w:w="6912"/>
            <w:vAlign w:val="top"/>
          </w:tcPr>
          <w:p>
            <w:r/>
            <w:r>
              <w:rPr>
                <w:b w:val="0"/>
                <w:sz w:val="20"/>
              </w:rPr>
              <w:t>Clean teaching transcript for web resource pack</w:t>
            </w:r>
          </w:p>
        </w:tc>
      </w:tr>
    </w:tbl>
    <w:p/>
    <w:tbl>
      <w:tblPr>
        <w:tblStyle w:val="TableGrid"/>
        <w:tblW w:type="auto" w:w="0"/>
        <w:jc w:val="center"/>
        <w:tblLook w:firstColumn="1" w:firstRow="1" w:lastColumn="0" w:lastRow="0" w:noHBand="0" w:noVBand="1" w:val="04A0"/>
      </w:tblPr>
      <w:tblGrid>
        <w:gridCol w:w="9792"/>
      </w:tblGrid>
      <w:tr>
        <w:tc>
          <w:tcPr>
            <w:tcW w:type="dxa" w:w="9792"/>
            <w:shd w:fill="F5F0E6"/>
          </w:tcPr>
          <w:p>
            <w:r>
              <w:rPr>
                <w:b/>
                <w:color w:val="1B3A5C"/>
                <w:sz w:val="22"/>
              </w:rPr>
              <w:t>Editorial note</w:t>
            </w:r>
          </w:p>
          <w:p>
            <w:r>
              <w:rPr>
                <w:sz w:val="20"/>
              </w:rPr>
              <w:t>This clean transcript reconstructs the Surapati section of Professor Ann Kumar’s seventeenth-century Dutch Strategy lecture. Obvious OCR errors and abbreviations have been silently regularised for readability. Names and dates should be checked against the original scan before final scholarly publication.</w:t>
            </w:r>
          </w:p>
        </w:tc>
      </w:tr>
    </w:tbl>
    <w:p/>
    <w:p>
      <w:pPr>
        <w:pStyle w:val="Heading2"/>
      </w:pPr>
      <w:r>
        <w:t>A connecting figure in a fragmented archipelago</w:t>
      </w:r>
    </w:p>
    <w:p>
      <w:r>
        <w:t>By the later seventeenth century the Dutch had established fairly tight control over the Moluccas, controlled Makassar, and had a looser position in the Minangkabau area. They had also become deeply involved in Javanese politics, both in Banten and in Mataram. Yet the VOC, as a single corporate-political unit, was dealing with a number of separate political units: Java itself was divided into Banten, Cirebon, Mataram and Balambangan, and the rest of the archipelago showed a similar political fragmentation.</w:t>
      </w:r>
    </w:p>
    <w:p>
      <w:r>
        <w:t>This raises the question of whether there were any larger ties of unity between the various parts of the archipelago. Was the modern nation of Indonesia entirely a Dutch creation? Before the later period of Dutch colonisation, are we merely chronicling the histories of separate states, some more important than others, but generally presenting a picture of fragmentation?</w:t>
      </w:r>
    </w:p>
    <w:p>
      <w:r>
        <w:t>At the level of state organisation, it is reasonable to say that there was no unity. At the personal level, however, we do find certain people who provide links between developments in different parts of the archipelago. Such a figure is Surapati. He was involved with almost every anti-Dutch group in the decades immediately before and after 1700. It is on this basis that he became a national hero of the modern Indonesian republic.</w:t>
      </w:r>
    </w:p>
    <w:p>
      <w:pPr>
        <w:pStyle w:val="Heading2"/>
      </w:pPr>
      <w:r>
        <w:t>Origins and Batavian beginnings</w:t>
      </w:r>
    </w:p>
    <w:p>
      <w:r>
        <w:t>Surapati is an exceptional figure because he was one of the few important protagonists of the period who was not of royal birth. Although certainty is difficult, it seems likely that he was originally a Balinese slave brought to Batavia. At this time there was a considerable number of Balinese slaves in the Dutch settlement. Victims of wars among the petty principalities of Bali, they came to form a serious security problem in Batavia. They tended to run away, form gangs and run amok. Many fled to the uplands above Batavia.</w:t>
      </w:r>
    </w:p>
    <w:p>
      <w:r>
        <w:t>It is in this region above Batavia that we first hear of Surapati, as the leader of a band of Balinese. For a time he enlisted in the VOC army, and in this way became involved in the affairs of Banten. He was given the task of locating Sultan Abulfatah and his party and arranging for their surrender.</w:t>
      </w:r>
    </w:p>
    <w:p>
      <w:pPr>
        <w:pStyle w:val="Heading2"/>
      </w:pPr>
      <w:r>
        <w:t>Banten, Sheikh Yusuf and the break with the VOC</w:t>
      </w:r>
    </w:p>
    <w:p>
      <w:r>
        <w:t>With Abulfatah were his loyal son, Purbaya, and Sheikh Yusuf, a Muslim scholar of some eminence. Yusuf was also the son-in-law of the conquered Makassarese ruler and had become one of the Makassarese expatriates who played military roles in the history of Southeast Asia. This provides, from better documented times, an example of the kind of alliance that traditional accounts suggest was important for the Islamisation of Indonesia.</w:t>
      </w:r>
    </w:p>
    <w:p>
      <w:r>
        <w:t>Surapati actually arranged for the surrender of the party, but the behaviour of a Dutch officer who demanded that Abulfatah surrender his personal kris — a humiliating demand in Bantenese terms — caused the party to flee. A quarrel then arose between Surapati and the Dutch officer, leading to an irrevocable break between Surapati and the VOC.</w:t>
      </w:r>
    </w:p>
    <w:p>
      <w:r>
        <w:t>The Banten party was eventually rounded up. Yusuf was exiled to the Dutch settlement at the Cape, where he died in 1699. His grave, near Makassar, is still a place of pilgrimage. Surapati, however, pursued by VOC forces, escaped into the capital of Mataram. There he joined forces with the Patih, who was pursuing an anti-Dutch policy.</w:t>
      </w:r>
    </w:p>
    <w:p>
      <w:pPr>
        <w:pStyle w:val="Heading2"/>
      </w:pPr>
      <w:r>
        <w:t>Mataram, Captain Tack and Pasuruan</w:t>
      </w:r>
    </w:p>
    <w:p>
      <w:r>
        <w:t>At this time the ruler of Mataram, Mangkurat II, was feeling the pressure of his debt from the Trunajaya war. When he heard that the VOC was sending an expedition to Kartasura under the renowned Captain Tack, known for his role in the fighting against Trunajaya, he feared that the Dutch were coming to extract money from him one way or another. In fact, Tack was empowered to reduce the debt considerably if Mataram renounced its claims to sovereignty over Cirebon. Tack was also instructed to capture Surapati.</w:t>
      </w:r>
    </w:p>
    <w:p>
      <w:r>
        <w:t>To cut a long story short, Mangkurat II, though unwilling to take up arms against the Dutch himself, allowed Surapati to make an attack which took the Dutch by surprise and caused them great losses, including the death of Tack himself.</w:t>
      </w:r>
    </w:p>
    <w:p>
      <w:r>
        <w:t>After this encounter, Mangkurat II lost courage in the face of VOC anger and promised that he would punish those responsible for the outrage. Surapati left Kartasura for East Java, where he set up a semi-independent principality at Pasuruan.</w:t>
      </w:r>
    </w:p>
    <w:p>
      <w:pPr>
        <w:pStyle w:val="Heading2"/>
      </w:pPr>
      <w:r>
        <w:t>A centre for anti-Dutch elements</w:t>
      </w:r>
    </w:p>
    <w:p>
      <w:r>
        <w:t>At Pasuruan, Surapati received anti-Dutch elements from many regions: Javanese, Makassarese, Malays and Chinese. These were mostly trading peoples who had the most to lose from the Dutch monopoly. He also sent embassies to Siam. In 1703, when the so-called First Javanese War of Succession broke out, Surapati took the anti-Dutch side. The Dutch candidate won, and thereafter the Dutch turned their energies towards Surapati’s domain.</w:t>
      </w:r>
    </w:p>
    <w:p>
      <w:r>
        <w:t>In 1706 the Dutch sent an expedition to Pasuruan, and Surapati himself was killed in battle. In the following year a second Dutch expedition took Pasuruan, and his sons escaped deeper into eastern Java. There they and their descendants continued to cause trouble for the Dutch until at least 1718.</w:t>
      </w:r>
    </w:p>
    <w:p>
      <w:pPr>
        <w:pStyle w:val="Heading2"/>
      </w:pPr>
      <w:r>
        <w:t>Historical significance</w:t>
      </w:r>
    </w:p>
    <w:p>
      <w:r>
        <w:t>From this career one can perhaps deduce that there was a certain amount of communication and coordination between those elements whose interests led them to oppose the Dutch: mainly Islamic trading communities, including Banten, Makassar and Malays from Borneo. There is no positive evidence for Surapati’s own religion, but it is known that many of the Balinese of Batavia became Muslims and were absorbed into the Batavian population; no surviving Hindu-Balinese community remained there.</w:t>
      </w:r>
    </w:p>
    <w:p>
      <w:r>
        <w:t>Surapati therefore matters not simply as a rebel against the Dutch, but as a figure who connects Batavia, Banten, Makassar, Mataram, Pasuruan, Chinese and Malay trading communities, and wider maritime Southeast Asian networks. His career provides a human thread through an otherwise fragmented political landscape.</w:t>
      </w:r>
    </w:p>
    <w:tbl>
      <w:tblPr>
        <w:tblStyle w:val="TableGrid"/>
        <w:tblW w:type="auto" w:w="0"/>
        <w:jc w:val="center"/>
        <w:tblLook w:firstColumn="1" w:firstRow="1" w:lastColumn="0" w:lastRow="0" w:noHBand="0" w:noVBand="1" w:val="04A0"/>
      </w:tblPr>
      <w:tblGrid>
        <w:gridCol w:w="9792"/>
      </w:tblGrid>
      <w:tr>
        <w:tc>
          <w:tcPr>
            <w:tcW w:type="dxa" w:w="9792"/>
            <w:shd w:fill="D5E8F0"/>
          </w:tcPr>
          <w:p>
            <w:r>
              <w:rPr>
                <w:b/>
                <w:color w:val="1B3A5C"/>
                <w:sz w:val="22"/>
              </w:rPr>
              <w:t>Key terms</w:t>
            </w:r>
          </w:p>
          <w:p>
            <w:r>
              <w:rPr>
                <w:sz w:val="20"/>
              </w:rPr>
              <w:t>Surapati; Banten; Sheikh Yusuf; Mataram; Mangkurat II; Captain Tack; Pasuruan; VOC; kris; Batavia; Makassar; Islamic trading communities.</w:t>
            </w:r>
          </w:p>
        </w:tc>
      </w:tr>
    </w:tbl>
    <w:p/>
    <w:sectPr w:rsidR="00FC693F" w:rsidRPr="0006063C" w:rsidSect="00034616">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Georgia" w:hAnsi="Georgia" w:eastAsia="Georgi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