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AK-L17: The Growth of Malay National Feeling and the Traditional Aristocracy</w:t>
      </w:r>
    </w:p>
    <w:p>
      <w:pPr>
        <w:jc w:val="center"/>
      </w:pPr>
      <w:r>
        <w:rPr>
          <w:b/>
          <w:color w:val="1B3A5C"/>
          <w:sz w:val="26"/>
        </w:rPr>
        <w:t>Web Publishing Notes</w:t>
      </w:r>
    </w:p>
    <w:p>
      <w:pPr>
        <w:jc w:val="center"/>
        <w:pBdr>
          <w:bottom w:val="single" w:sz="8" w:space="6" w:color="C5943A"/>
        </w:pBdr>
      </w:pPr>
      <w:r>
        <w:rPr>
          <w:i/>
          <w:color w:val="4A5568"/>
        </w:rPr>
        <w:t>Practical publishing notes for WordPress, SEO and archive linking.</w:t>
      </w:r>
    </w:p>
    <w:p>
      <w:pPr>
        <w:pStyle w:val="Heading1"/>
      </w:pPr>
      <w:r>
        <w:t>Recommended WordPress Title</w:t>
      </w:r>
    </w:p>
    <w:p>
      <w:r>
        <w:t>The Growth of Malay National Feeling and the Traditional Aristocracy</w:t>
      </w:r>
    </w:p>
    <w:p>
      <w:pPr>
        <w:pStyle w:val="Heading1"/>
      </w:pPr>
      <w:r>
        <w:t>Recommended Slug</w:t>
      </w:r>
    </w:p>
    <w:p>
      <w:r>
        <w:t>/the-growth-of-malay-national-feeling-and-the-traditional-aristocracy/</w:t>
      </w:r>
    </w:p>
    <w:p>
      <w:pPr>
        <w:pStyle w:val="Heading1"/>
      </w:pPr>
      <w:r>
        <w:t>Standard File Names</w:t>
      </w:r>
    </w:p>
    <w:p>
      <w:pPr>
        <w:pStyle w:val="ListBullet"/>
      </w:pPr>
      <w:r>
        <w:t>AK-L17_The-Growth-of-Malay-National-Feeling-and-the-Traditional-Aristocracy_Original-Lecture-Notes.pdf</w:t>
      </w:r>
    </w:p>
    <w:p>
      <w:pPr>
        <w:pStyle w:val="ListBullet"/>
      </w:pPr>
      <w:r>
        <w:t>AK-L17_The-Growth-of-Malay-National-Feeling-and-the-Traditional-Aristocracy_Clean-Transcript.docx</w:t>
      </w:r>
    </w:p>
    <w:p>
      <w:pPr>
        <w:pStyle w:val="ListBullet"/>
      </w:pPr>
      <w:r>
        <w:t>AK-L17_The-Growth-of-Malay-National-Feeling-and-the-Traditional-Aristocracy_Lecture-Synopsis.docx</w:t>
      </w:r>
    </w:p>
    <w:p>
      <w:pPr>
        <w:pStyle w:val="ListBullet"/>
      </w:pPr>
      <w:r>
        <w:t>AK-L17_The-Growth-of-Malay-National-Feeling-and-the-Traditional-Aristocracy_Further-Reading.docx</w:t>
      </w:r>
    </w:p>
    <w:p>
      <w:pPr>
        <w:pStyle w:val="ListBullet"/>
      </w:pPr>
      <w:r>
        <w:t>AK-L17_The-Growth-of-Malay-National-Feeling-and-the-Traditional-Aristocracy_Web-Publishing-Notes.docx</w:t>
      </w:r>
    </w:p>
    <w:p>
      <w:pPr>
        <w:pStyle w:val="Heading1"/>
      </w:pPr>
      <w:r>
        <w:t>SEO Title</w:t>
      </w:r>
    </w:p>
    <w:p>
      <w:r>
        <w:t>The Growth of Malay National Feeling and the Traditional Aristocracy | Ann Kumar Archive</w:t>
      </w:r>
    </w:p>
    <w:p>
      <w:pPr>
        <w:pStyle w:val="Heading1"/>
      </w:pPr>
      <w:r>
        <w:t>Meta Description</w:t>
      </w:r>
    </w:p>
    <w:p>
      <w:r>
        <w:t>Professor Ann Kumar lecture resource on Malay national feeling, British protection, Malay rulers, aristocracy, vernacular education, the Malayan Union, UMNO, MCA, the Emergency and Malayan independence.</w:t>
      </w:r>
    </w:p>
    <w:p>
      <w:pPr>
        <w:pStyle w:val="Heading1"/>
      </w:pPr>
      <w:r>
        <w:t>Suggested Image Concepts</w:t>
      </w:r>
    </w:p>
    <w:p>
      <w:pPr>
        <w:pStyle w:val="ListBullet"/>
      </w:pPr>
      <w:r>
        <w:t>An infographic titled "Three Pathways into Malay National Feeling": Islamic reformists, Malay-educated radicals and English-educated aristocratic administrators.</w:t>
      </w:r>
    </w:p>
    <w:p>
      <w:pPr>
        <w:pStyle w:val="ListBullet"/>
      </w:pPr>
      <w:r>
        <w:t>A conceptual map of Malaya showing west-coast export economy, Malay rural reservations, state capitals, Singapore, and the communal political field.</w:t>
      </w:r>
    </w:p>
    <w:p>
      <w:pPr>
        <w:pStyle w:val="ListBullet"/>
      </w:pPr>
      <w:r>
        <w:t>A constitutional diagram showing Malay rulers, UMNO, MCA, MIC, Alliance and the 1957 independence settlement.</w:t>
      </w:r>
    </w:p>
    <w:p>
      <w:pPr>
        <w:pStyle w:val="Heading1"/>
      </w:pPr>
      <w:r>
        <w:t>Suggested Alt Text</w:t>
      </w:r>
    </w:p>
    <w:p>
      <w:r>
        <w:t>Infographic showing the growth of Malay national feeling through Malay rulers, aristocracy, vernacular education, communal politics, UMNO, MCA and the Alliance settlement.</w:t>
      </w:r>
    </w:p>
    <w:p>
      <w:pPr>
        <w:pStyle w:val="Heading1"/>
      </w:pPr>
      <w:r>
        <w:t>Archives Page Row</w:t>
      </w:r>
    </w:p>
    <w:p>
      <w:r>
        <w:t>&lt;tr&gt;</w:t>
        <w:br/>
        <w:t xml:space="preserve">  &lt;td&gt;&lt;a href="/the-growth-of-malay-national-feeling-and-the-traditional-aristocracy/"&gt;The Growth of Malay National Feeling and the Traditional Aristocracy&lt;/a&gt;&lt;/td&gt;</w:t>
        <w:br/>
        <w:t xml:space="preserve">  &lt;td&gt;PDF 013&lt;/td&gt;</w:t>
        <w:br/>
        <w:t xml:space="preserve">  &lt;td&gt;&lt;a href="PASTE-ORIGINAL-SCAN-PDF-URL-HERE"&gt;PDF&lt;/a&gt;&lt;/td&gt;</w:t>
        <w:br/>
        <w:t xml:space="preserve">  &lt;td&gt;&lt;a href="PASTE-CLEAN-TRANSCRIPT-DOCX-URL-HERE"&gt;DOCX&lt;/a&gt;&lt;/td&gt;</w:t>
        <w:br/>
        <w:t xml:space="preserve">  &lt;td&gt;&lt;a href="PASTE-LECTURE-SYNOPSIS-DOCX-URL-HERE"&gt;DOCX&lt;/a&gt;&lt;/td&gt;</w:t>
        <w:br/>
        <w:t xml:space="preserve">  &lt;td&gt;&lt;a href="PASTE-FURTHER-READING-DOCX-URL-HERE"&gt;DOCX&lt;/a&gt;&lt;/td&gt;</w:t>
        <w:br/>
        <w:t>&lt;/tr&gt;</w:t>
      </w:r>
    </w:p>
    <w:p>
      <w:pPr>
        <w:pStyle w:val="Heading1"/>
      </w:pPr>
      <w:r>
        <w:t>Resource Button Order</w:t>
      </w:r>
    </w:p>
    <w:p>
      <w:pPr>
        <w:pStyle w:val="ListBullet"/>
      </w:pPr>
      <w:r>
        <w:t>Lecture Synopsis</w:t>
      </w:r>
    </w:p>
    <w:p>
      <w:pPr>
        <w:pStyle w:val="ListBullet"/>
      </w:pPr>
      <w:r>
        <w:t>Clean Transcript</w:t>
      </w:r>
    </w:p>
    <w:p>
      <w:pPr>
        <w:pStyle w:val="ListBullet"/>
      </w:pPr>
      <w:r>
        <w:t>Original Lecture Notes</w:t>
      </w:r>
    </w:p>
    <w:p>
      <w:pPr>
        <w:pStyle w:val="ListBullet"/>
      </w:pPr>
      <w:r>
        <w:t>Further Reading</w:t>
      </w:r>
    </w:p>
    <w:p>
      <w:pPr>
        <w:pStyle w:val="Heading1"/>
      </w:pPr>
      <w:r>
        <w:t>Proofing Notes</w:t>
      </w:r>
    </w:p>
    <w:p>
      <w:pPr>
        <w:pStyle w:val="ListBullet"/>
      </w:pPr>
      <w:r>
        <w:t>Check spelling and dates for Pangkor Engagement, Federated Malay States, Sultan Idris Training College, Kesatuan Melayu Muda, Onn bin Jaafar, Tan Cheng Lock, H. S. Lee, UMNO, MCA, MIC and Yang di-Pertuan Agong.</w:t>
      </w:r>
    </w:p>
    <w:p>
      <w:pPr>
        <w:pStyle w:val="ListBullet"/>
      </w:pPr>
      <w:r>
        <w:t>Confirm the 1931 census figure and demographic terms against the original scan before publication.</w:t>
      </w:r>
    </w:p>
    <w:p>
      <w:pPr>
        <w:pStyle w:val="ListBullet"/>
      </w:pPr>
      <w:r>
        <w:t>Decide whether the page should be placed under Nationalist Awakening or as a Malaysia-facing comparative lecture in the Lecture Series.</w:t>
      </w:r>
    </w:p>
    <w:p>
      <w:pPr>
        <w:pStyle w:val="ListBullet"/>
      </w:pPr>
      <w:r>
        <w:t>Use quotation marks around contested terms such as "Emergency" or British administrative labels where appropriate.</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AK-L17 - The Growth of Malay National Feeling and the Traditional Aristocracy</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AK-L17: The Growth of Malay National Feeling and the Traditional Aristocracy</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