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pStyle w:val="Title"/>
        <w:jc w:val="center"/>
      </w:pPr>
      <w:r>
        <w:t>AK-L17: The Growth of Malay National Feeling and the Traditional Aristocracy</w:t>
      </w:r>
    </w:p>
    <w:p>
      <w:pPr>
        <w:jc w:val="center"/>
      </w:pPr>
      <w:r>
        <w:rPr>
          <w:b/>
          <w:color w:val="1B3A5C"/>
          <w:sz w:val="26"/>
        </w:rPr>
        <w:t>Lecture Synopsis</w:t>
      </w:r>
    </w:p>
    <w:p>
      <w:pPr>
        <w:jc w:val="center"/>
        <w:pBdr>
          <w:bottom w:val="single" w:sz="8" w:space="6" w:color="C5943A"/>
        </w:pBdr>
      </w:pPr>
      <w:r>
        <w:rPr>
          <w:i/>
          <w:color w:val="4A5568"/>
        </w:rPr>
        <w:t>Concise teaching summary for students and archive readers.</w:t>
      </w:r>
    </w:p>
    <w:p>
      <w:pPr>
        <w:pStyle w:val="Heading1"/>
      </w:pPr>
      <w:r>
        <w:t>Lecture Focus</w:t>
      </w:r>
    </w:p>
    <w:p>
      <w:r>
        <w:t>This lecture explains why Malay nationalism developed differently from Indonesian nationalism. It emphasises the role of British indirect rule, immigrant labour, Malay rural society, the protection of sultans and aristocrats, Malay educational streams, communal politics, the Malayan Union crisis, UMNO, the MCA and the Alliance route to independence.</w:t>
      </w:r>
    </w:p>
    <w:p>
      <w:pPr>
        <w:pStyle w:val="Heading1"/>
      </w:pPr>
      <w:r>
        <w:t>Central Argument</w:t>
      </w:r>
    </w:p>
    <w:p>
      <w:r>
        <w:t>Malay national feeling did not arise primarily through revolutionary urban mobilisation. It developed through a colonial system that preserved Malay rulers and aristocrats while building a modern export economy around immigrant labour. The traditional aristocracy, reinforced by British protection and later by English education and administrative office, became one of the principal vehicles through which Malay political feeling took organised form.</w:t>
      </w:r>
    </w:p>
    <w:p>
      <w:pPr>
        <w:pStyle w:val="Heading1"/>
      </w:pPr>
      <w:r>
        <w:t>Core Themes</w:t>
      </w:r>
    </w:p>
    <w:p>
      <w:pPr>
        <w:pStyle w:val="ListBullet"/>
      </w:pPr>
      <w:r>
        <w:t>British protection preserved the prestige of Malay rulers while transferring real power to Residents.</w:t>
      </w:r>
    </w:p>
    <w:p>
      <w:pPr>
        <w:pStyle w:val="ListBullet"/>
      </w:pPr>
      <w:r>
        <w:t>Chinese and Indian immigration transformed Malaya's demography and economy.</w:t>
      </w:r>
    </w:p>
    <w:p>
      <w:pPr>
        <w:pStyle w:val="ListBullet"/>
      </w:pPr>
      <w:r>
        <w:t>Malay villagers were largely kept within rural society through land, rice and reservation policies.</w:t>
      </w:r>
    </w:p>
    <w:p>
      <w:pPr>
        <w:pStyle w:val="ListBullet"/>
      </w:pPr>
      <w:r>
        <w:t>The Malay aristocracy gained new administrative importance under colonial rule.</w:t>
      </w:r>
    </w:p>
    <w:p>
      <w:pPr>
        <w:pStyle w:val="ListBullet"/>
      </w:pPr>
      <w:r>
        <w:t>Three leadership streams emerged: Islamic reformists, Malay-educated radicals and English-educated bureaucratic elites.</w:t>
      </w:r>
    </w:p>
    <w:p>
      <w:pPr>
        <w:pStyle w:val="ListBullet"/>
      </w:pPr>
      <w:r>
        <w:t>The Sultan Idris Training College and Indonesian publications shaped Malay-educated radicals.</w:t>
      </w:r>
    </w:p>
    <w:p>
      <w:pPr>
        <w:pStyle w:val="ListBullet"/>
      </w:pPr>
      <w:r>
        <w:t>The Malay Associations connected political organisation to state loyalties and aristocratic leadership.</w:t>
      </w:r>
    </w:p>
    <w:p>
      <w:pPr>
        <w:pStyle w:val="ListBullet"/>
      </w:pPr>
      <w:r>
        <w:t>Japanese occupation deepened communal divisions and strengthened the political importance of Chinese-led resistance and Malay collaboration/administration.</w:t>
      </w:r>
    </w:p>
    <w:p>
      <w:pPr>
        <w:pStyle w:val="ListBullet"/>
      </w:pPr>
      <w:r>
        <w:t>The Malayan Union crisis converted Malay concern into mass political mobilisation through UMNO.</w:t>
      </w:r>
    </w:p>
    <w:p>
      <w:pPr>
        <w:pStyle w:val="ListBullet"/>
      </w:pPr>
      <w:r>
        <w:t>Independence came through elite communal compromise rather than anti-colonial war.</w:t>
      </w:r>
    </w:p>
    <w:p>
      <w:pPr>
        <w:pStyle w:val="Heading1"/>
      </w:pPr>
      <w:r>
        <w:t>Key Terms</w:t>
      </w:r>
    </w:p>
    <w:tbl>
      <w:tblPr>
        <w:tblStyle w:val="TableGrid"/>
        <w:tblW w:type="auto" w:w="0"/>
        <w:tblLook w:firstColumn="1" w:firstRow="1" w:lastColumn="0" w:lastRow="0" w:noHBand="0" w:noVBand="1" w:val="04A0"/>
      </w:tblPr>
      <w:tblGrid>
        <w:gridCol w:w="4997"/>
        <w:gridCol w:w="4997"/>
      </w:tblGrid>
      <w:tr>
        <w:tc>
          <w:tcPr>
            <w:tcW w:type="dxa" w:w="4997"/>
            <w:shd w:fill="D5E8F0"/>
          </w:tcPr>
          <w:p>
            <w:r>
              <w:t>Term</w:t>
            </w:r>
          </w:p>
        </w:tc>
        <w:tc>
          <w:tcPr>
            <w:tcW w:type="dxa" w:w="4997"/>
            <w:shd w:fill="D5E8F0"/>
          </w:tcPr>
          <w:p>
            <w:r>
              <w:t>Meaning</w:t>
            </w:r>
          </w:p>
        </w:tc>
      </w:tr>
      <w:tr>
        <w:tc>
          <w:tcPr>
            <w:tcW w:type="dxa" w:w="4997"/>
          </w:tcPr>
          <w:p>
            <w:r>
              <w:t>Resident</w:t>
            </w:r>
          </w:p>
        </w:tc>
        <w:tc>
          <w:tcPr>
            <w:tcW w:type="dxa" w:w="4997"/>
          </w:tcPr>
          <w:p>
            <w:r>
              <w:t>British adviser to a Malay ruler; formally advisory, but in practice often decisive in government.</w:t>
            </w:r>
          </w:p>
        </w:tc>
      </w:tr>
      <w:tr>
        <w:tc>
          <w:tcPr>
            <w:tcW w:type="dxa" w:w="4997"/>
          </w:tcPr>
          <w:p>
            <w:r>
              <w:t>Pangkor Engagement</w:t>
            </w:r>
          </w:p>
        </w:tc>
        <w:tc>
          <w:tcPr>
            <w:tcW w:type="dxa" w:w="4997"/>
          </w:tcPr>
          <w:p>
            <w:r>
              <w:t>The 1874 agreement that became a model for British intervention and Resident advice in Malay states.</w:t>
            </w:r>
          </w:p>
        </w:tc>
      </w:tr>
      <w:tr>
        <w:tc>
          <w:tcPr>
            <w:tcW w:type="dxa" w:w="4997"/>
          </w:tcPr>
          <w:p>
            <w:r>
              <w:t>Federated Malay States</w:t>
            </w:r>
          </w:p>
        </w:tc>
        <w:tc>
          <w:tcPr>
            <w:tcW w:type="dxa" w:w="4997"/>
          </w:tcPr>
          <w:p>
            <w:r>
              <w:t>Malay states under closer British administrative co-ordination.</w:t>
            </w:r>
          </w:p>
        </w:tc>
      </w:tr>
      <w:tr>
        <w:tc>
          <w:tcPr>
            <w:tcW w:type="dxa" w:w="4997"/>
          </w:tcPr>
          <w:p>
            <w:r>
              <w:t>Malay Reservations</w:t>
            </w:r>
          </w:p>
        </w:tc>
        <w:tc>
          <w:tcPr>
            <w:tcW w:type="dxa" w:w="4997"/>
          </w:tcPr>
          <w:p>
            <w:r>
              <w:t>Land reserved for Malay ownership to protect Malay rural society and peasant holdings.</w:t>
            </w:r>
          </w:p>
        </w:tc>
      </w:tr>
      <w:tr>
        <w:tc>
          <w:tcPr>
            <w:tcW w:type="dxa" w:w="4997"/>
          </w:tcPr>
          <w:p>
            <w:r>
              <w:t>Sultan Idris Training College</w:t>
            </w:r>
          </w:p>
        </w:tc>
        <w:tc>
          <w:tcPr>
            <w:tcW w:type="dxa" w:w="4997"/>
          </w:tcPr>
          <w:p>
            <w:r>
              <w:t>A vernacular teacher-training college important in Malay language, literature and nationalist consciousness.</w:t>
            </w:r>
          </w:p>
        </w:tc>
      </w:tr>
      <w:tr>
        <w:tc>
          <w:tcPr>
            <w:tcW w:type="dxa" w:w="4997"/>
          </w:tcPr>
          <w:p>
            <w:r>
              <w:t>Kesatuan Melayu Muda</w:t>
            </w:r>
          </w:p>
        </w:tc>
        <w:tc>
          <w:tcPr>
            <w:tcW w:type="dxa" w:w="4997"/>
          </w:tcPr>
          <w:p>
            <w:r>
              <w:t>Young Malay Union; a radical Malay organisation formed in 1936, influenced by Indonesian nationalism.</w:t>
            </w:r>
          </w:p>
        </w:tc>
      </w:tr>
      <w:tr>
        <w:tc>
          <w:tcPr>
            <w:tcW w:type="dxa" w:w="4997"/>
          </w:tcPr>
          <w:p>
            <w:r>
              <w:t>Malayan Union</w:t>
            </w:r>
          </w:p>
        </w:tc>
        <w:tc>
          <w:tcPr>
            <w:tcW w:type="dxa" w:w="4997"/>
          </w:tcPr>
          <w:p>
            <w:r>
              <w:t>The British post-war plan for a unified Malayan state with liberal citizenship and reduced sultan authority.</w:t>
            </w:r>
          </w:p>
        </w:tc>
      </w:tr>
      <w:tr>
        <w:tc>
          <w:tcPr>
            <w:tcW w:type="dxa" w:w="4997"/>
          </w:tcPr>
          <w:p>
            <w:r>
              <w:t>UMNO</w:t>
            </w:r>
          </w:p>
        </w:tc>
        <w:tc>
          <w:tcPr>
            <w:tcW w:type="dxa" w:w="4997"/>
          </w:tcPr>
          <w:p>
            <w:r>
              <w:t>United Malays National Organisation, formed to oppose the Malayan Union and later central to independence politics.</w:t>
            </w:r>
          </w:p>
        </w:tc>
      </w:tr>
      <w:tr>
        <w:tc>
          <w:tcPr>
            <w:tcW w:type="dxa" w:w="4997"/>
          </w:tcPr>
          <w:p>
            <w:r>
              <w:t>MCA</w:t>
            </w:r>
          </w:p>
        </w:tc>
        <w:tc>
          <w:tcPr>
            <w:tcW w:type="dxa" w:w="4997"/>
          </w:tcPr>
          <w:p>
            <w:r>
              <w:t>Malayan Chinese Association, formed in 1949 as a respectable Chinese political organisation.</w:t>
            </w:r>
          </w:p>
        </w:tc>
      </w:tr>
      <w:tr>
        <w:tc>
          <w:tcPr>
            <w:tcW w:type="dxa" w:w="4997"/>
          </w:tcPr>
          <w:p>
            <w:r>
              <w:t>MIC</w:t>
            </w:r>
          </w:p>
        </w:tc>
        <w:tc>
          <w:tcPr>
            <w:tcW w:type="dxa" w:w="4997"/>
          </w:tcPr>
          <w:p>
            <w:r>
              <w:t>Malayan Indian Congress, which joined the Alliance in 1954.</w:t>
            </w:r>
          </w:p>
        </w:tc>
      </w:tr>
      <w:tr>
        <w:tc>
          <w:tcPr>
            <w:tcW w:type="dxa" w:w="4997"/>
          </w:tcPr>
          <w:p>
            <w:r>
              <w:t>Emergency</w:t>
            </w:r>
          </w:p>
        </w:tc>
        <w:tc>
          <w:tcPr>
            <w:tcW w:type="dxa" w:w="4997"/>
          </w:tcPr>
          <w:p>
            <w:r>
              <w:t>The anti-communist conflict beginning in 1948, mainly involving the MCP and British/Malayan security forces.</w:t>
            </w:r>
          </w:p>
        </w:tc>
      </w:tr>
      <w:tr>
        <w:tc>
          <w:tcPr>
            <w:tcW w:type="dxa" w:w="4997"/>
          </w:tcPr>
          <w:p>
            <w:r>
              <w:t>Yang di-Pertuan Agong</w:t>
            </w:r>
          </w:p>
        </w:tc>
        <w:tc>
          <w:tcPr>
            <w:tcW w:type="dxa" w:w="4997"/>
          </w:tcPr>
          <w:p>
            <w:r>
              <w:t>Paramount ruler chosen from among the Malay sultans under the independence settlement.</w:t>
            </w:r>
          </w:p>
        </w:tc>
      </w:tr>
    </w:tbl>
    <w:p>
      <w:pPr>
        <w:pStyle w:val="Heading1"/>
      </w:pPr>
      <w:r>
        <w:t>Why It Matters in the Archive</w:t>
      </w:r>
    </w:p>
    <w:p>
      <w:r>
        <w:t>This lecture provides the archive's major comparative Malaysia-facing counterpart to the Indonesian nationalism lectures. It shows that nationalism in Southeast Asia did not follow one path. In Malaya, state loyalties, rulers, aristocratic authority, communal negotiation and British constitutional planning shaped the route to independence.</w:t>
      </w:r>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4A5568"/>
        <w:sz w:val="16"/>
      </w:rPr>
      <w:t>AK-L17 - The Growth of Malay National Feeling and the Traditional Aristocracy</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4A5568"/>
        <w:sz w:val="16"/>
      </w:rPr>
      <w:t>Professor Ann Kumar Southeast Asian Civilisation Archive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40"/>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B3A5C"/>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AK-L17: The Growth of Malay National Feeling and the Traditional Aristocracy</dc:title>
  <dc:subject/>
  <dc:creator>Kevin Parker / Prof. Ann Kumar Archive Project</dc:creator>
  <cp:keywords/>
  <dc:description>generated by python-docx</dc:description>
  <cp:lastModifiedBy/>
  <cp:revision>1</cp:revision>
  <dcterms:created xsi:type="dcterms:W3CDTF">2013-12-23T23:15:00Z</dcterms:created>
  <dcterms:modified xsi:type="dcterms:W3CDTF">2013-12-23T23:15:00Z</dcterms:modified>
  <cp:category/>
</cp:coreProperties>
</file>