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t>AK-L17: The Growth of Malay National Feeling and the Traditional Aristocracy</w:t>
      </w:r>
    </w:p>
    <w:p>
      <w:pPr>
        <w:jc w:val="center"/>
      </w:pPr>
      <w:r>
        <w:rPr>
          <w:b/>
          <w:color w:val="1B3A5C"/>
          <w:sz w:val="26"/>
        </w:rPr>
        <w:t>Further Reading</w:t>
      </w:r>
    </w:p>
    <w:p>
      <w:pPr>
        <w:jc w:val="center"/>
        <w:pBdr>
          <w:bottom w:val="single" w:sz="8" w:space="6" w:color="C5943A"/>
        </w:pBdr>
      </w:pPr>
      <w:r>
        <w:rPr>
          <w:i/>
          <w:color w:val="4A5568"/>
        </w:rPr>
        <w:t>Selected reading and source guidance for the Malay national feeling lecture.</w:t>
      </w:r>
    </w:p>
    <w:p>
      <w:pPr>
        <w:pStyle w:val="Heading1"/>
      </w:pPr>
      <w:r>
        <w:t>Core Reading</w:t>
      </w:r>
    </w:p>
    <w:p>
      <w:r>
        <w:rPr>
          <w:b/>
          <w:color w:val="1B3A5C"/>
        </w:rPr>
        <w:t>R. O. Winstedt, Malaya and Its History</w:t>
      </w:r>
    </w:p>
    <w:p>
      <w:r>
        <w:t>Useful for the conservative British administrative perspective on Malay rulers, the Malayan Union and the road to independence.</w:t>
      </w:r>
    </w:p>
    <w:p>
      <w:r>
        <w:rPr>
          <w:b/>
          <w:color w:val="1B3A5C"/>
        </w:rPr>
        <w:t>Victor Purcell, The Chinese in Southeast Asia</w:t>
      </w:r>
    </w:p>
    <w:p>
      <w:r>
        <w:t>Important for Chinese communities, citizenship debates and Purcell's contrasting view of the Malayan Union.</w:t>
      </w:r>
    </w:p>
    <w:p>
      <w:r>
        <w:rPr>
          <w:b/>
          <w:color w:val="1B3A5C"/>
        </w:rPr>
        <w:t>J. S. Furnivall, Colonial Policy and Practice</w:t>
      </w:r>
    </w:p>
    <w:p>
      <w:r>
        <w:t>Useful for comparative colonial administration, plural society and indirect rule.</w:t>
      </w:r>
    </w:p>
    <w:p>
      <w:r>
        <w:rPr>
          <w:b/>
          <w:color w:val="1B3A5C"/>
        </w:rPr>
        <w:t>John Bastin and Harry J. Benda, A History of Modern Southeast Asia</w:t>
      </w:r>
    </w:p>
    <w:p>
      <w:r>
        <w:t>A helpful regional survey for Malaya, colonial rule, nationalism and decolonisation.</w:t>
      </w:r>
    </w:p>
    <w:p>
      <w:r>
        <w:rPr>
          <w:b/>
          <w:color w:val="1B3A5C"/>
        </w:rPr>
        <w:t>Studies of the Malayan Union and UMNO</w:t>
      </w:r>
    </w:p>
    <w:p>
      <w:r>
        <w:t>Needed for the transformation of Malay opposition into organised national politics.</w:t>
      </w:r>
    </w:p>
    <w:p>
      <w:r>
        <w:rPr>
          <w:b/>
          <w:color w:val="1B3A5C"/>
        </w:rPr>
        <w:t>Studies of Sultan Idris Training College and Malay vernacular education</w:t>
      </w:r>
    </w:p>
    <w:p>
      <w:r>
        <w:t>Useful for Malay-educated intelligentsia, language politics and the Kesatuan Melayu Muda.</w:t>
      </w:r>
    </w:p>
    <w:p>
      <w:r>
        <w:rPr>
          <w:b/>
          <w:color w:val="1B3A5C"/>
        </w:rPr>
        <w:t>Works on the Malayan Emergency</w:t>
      </w:r>
    </w:p>
    <w:p>
      <w:r>
        <w:t>Necessary for the MCP, MPAJA legacy, Briggs Plan, New Villages and British counter-insurgency.</w:t>
      </w:r>
    </w:p>
    <w:p>
      <w:r>
        <w:rPr>
          <w:b/>
          <w:color w:val="1B3A5C"/>
        </w:rPr>
        <w:t>Works on the Alliance, MCA and MIC</w:t>
      </w:r>
    </w:p>
    <w:p>
      <w:r>
        <w:t>Useful for understanding elite communal negotiation and the constitutional route to independence.</w:t>
      </w:r>
    </w:p>
    <w:p>
      <w:pPr>
        <w:pStyle w:val="Heading1"/>
      </w:pPr>
      <w:r>
        <w:t>Suggested Study Questions</w:t>
      </w:r>
    </w:p>
    <w:p>
      <w:pPr>
        <w:pStyle w:val="ListNumber"/>
      </w:pPr>
      <w:r>
        <w:t>Why did Malay national feeling develop more slowly than Indonesian nationalism before the 1940s?</w:t>
      </w:r>
    </w:p>
    <w:p>
      <w:pPr>
        <w:pStyle w:val="ListNumber"/>
      </w:pPr>
      <w:r>
        <w:t>How did British indirect rule strengthen the prestige of Malay rulers while reducing their real power?</w:t>
      </w:r>
    </w:p>
    <w:p>
      <w:pPr>
        <w:pStyle w:val="ListNumber"/>
      </w:pPr>
      <w:r>
        <w:t>Why did British policy tend to keep Malay peasants within rural society?</w:t>
      </w:r>
    </w:p>
    <w:p>
      <w:pPr>
        <w:pStyle w:val="ListNumber"/>
      </w:pPr>
      <w:r>
        <w:t>How did the three leadership groups differ in education, social base and political outlook?</w:t>
      </w:r>
    </w:p>
    <w:p>
      <w:pPr>
        <w:pStyle w:val="ListNumber"/>
      </w:pPr>
      <w:r>
        <w:t>Why did the Malay-educated radicals fail to gain mass support before the war?</w:t>
      </w:r>
    </w:p>
    <w:p>
      <w:pPr>
        <w:pStyle w:val="ListNumber"/>
      </w:pPr>
      <w:r>
        <w:t>Why did the Malayan Union provoke such strong Malay opposition?</w:t>
      </w:r>
    </w:p>
    <w:p>
      <w:pPr>
        <w:pStyle w:val="ListNumber"/>
      </w:pPr>
      <w:r>
        <w:t>How did UMNO, MCA and MIC transform communal politics into an independence settlement?</w:t>
      </w:r>
    </w:p>
    <w:p>
      <w:pPr>
        <w:pStyle w:val="ListNumber"/>
      </w:pPr>
      <w:r>
        <w:t>How does the Malayan route to independence compare with the Indonesian revolutionary route?</w:t>
      </w:r>
    </w:p>
    <w:p>
      <w:pPr>
        <w:pStyle w:val="Heading1"/>
      </w:pPr>
      <w:r>
        <w:t>Archive Cross-References</w:t>
      </w:r>
    </w:p>
    <w:p>
      <w:pPr>
        <w:pStyle w:val="ListBullet"/>
      </w:pPr>
      <w:r>
        <w:t>AK-L15: The Rise of Indonesian Nationalism, 1900-1942 - for comparison with Malay nationalism and Indonesian linguistic influence.</w:t>
      </w:r>
    </w:p>
    <w:p>
      <w:pPr>
        <w:pStyle w:val="ListBullet"/>
      </w:pPr>
      <w:r>
        <w:t>AK-L16: Japanese Occupation, Revolution and Independence, 1942-1949 - for comparison with Malaya's different wartime and post-war path.</w:t>
      </w:r>
    </w:p>
    <w:p>
      <w:pPr>
        <w:pStyle w:val="ListBullet"/>
      </w:pPr>
      <w:r>
        <w:t>AK-L02: Islam as a Historical Force - for Islamic reform and religious identity as political force.</w:t>
      </w:r>
    </w:p>
    <w:p>
      <w:pPr>
        <w:pStyle w:val="ListBullet"/>
      </w:pPr>
      <w:r>
        <w:t>Glossary terms: Malayan Union, UMNO, MCA, MIC, Emergency, MPAJA, Yang di-Pertuan Agong.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4A5568"/>
        <w:sz w:val="16"/>
      </w:rPr>
      <w:t>AK-L17 - The Growth of Malay National Feeling and the Traditional Aristocracy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A5568"/>
        <w:sz w:val="16"/>
      </w:rPr>
      <w:t>Professor Ann Kumar Southeast Asian Civilisation Archive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76" w:lineRule="auto" w:after="140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Georgia" w:hAnsi="Georgia" w:eastAsia="Georgia"/>
      <w:color w:val="1B3A5C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AK-L17: The Growth of Malay National Feeling and the Traditional Aristocracy</dc:title>
  <dc:subject/>
  <dc:creator>Kevin Parker / Prof. Ann Kumar Archive Project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