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C5943A"/>
          <w:sz w:val="18"/>
        </w:rPr>
        <w:t>Professor Ann Kumar Southeast Asian Civilisation Archive</w:t>
      </w:r>
    </w:p>
    <w:p>
      <w:pPr>
        <w:pStyle w:val="Title"/>
        <w:jc w:val="center"/>
      </w:pPr>
      <w:r>
        <w:t>AK-L17: The Growth of Malay National Feeling and the Traditional Aristocracy</w:t>
      </w:r>
    </w:p>
    <w:p>
      <w:pPr>
        <w:jc w:val="center"/>
      </w:pPr>
      <w:r>
        <w:rPr>
          <w:b/>
          <w:color w:val="1B3A5C"/>
          <w:sz w:val="26"/>
        </w:rPr>
        <w:t>Clean Transcript</w:t>
      </w:r>
    </w:p>
    <w:p>
      <w:pPr>
        <w:jc w:val="center"/>
        <w:pBdr>
          <w:bottom w:val="single" w:sz="8" w:space="6" w:color="C5943A"/>
        </w:pBdr>
      </w:pPr>
      <w:r>
        <w:rPr>
          <w:i/>
          <w:color w:val="4A5568"/>
        </w:rPr>
        <w:t>Edited teaching transcript reconstructed from Professor Kumar's Malaysia-facing lecture on Malay national feeling.</w:t>
      </w:r>
    </w:p>
    <w:p>
      <w:pPr>
        <w:pStyle w:val="Heading1"/>
      </w:pPr>
      <w:r>
        <w:t>Editorial Note</w:t>
      </w:r>
    </w:p>
    <w:p>
      <w:r>
        <w:t>This clean transcript reconstructs Professor Kumar's lecture on the growth of Malay national feeling and the contribution of the traditional aristocracy. It has been lightly edited for readability from OCR and scan evidence. Obvious abbreviations have been expanded where the meaning is clear. Final scholarly proofing should compare names, dates, and Malay terms against the original scan.</w:t>
      </w:r>
    </w:p>
    <w:p>
      <w:pPr>
        <w:pStyle w:val="Heading1"/>
      </w:pPr>
      <w:r>
        <w:t>1. British Protection and Social Change</w:t>
      </w:r>
    </w:p>
    <w:p>
      <w:r>
        <w:t>The establishment of British protectorates over Malaya changed life in dramatic ways while leaving other aspects of Malay society curiously untouched. One major transformation was demographic. Chinese and, to a lesser extent, Indian immigration altered the population balance, especially in the Straits Settlements and the more developed western states. This immigration went hand in hand with economic development: roads, railways, telegraphs, post offices, harbours, mines, plantations and export production.</w:t>
      </w:r>
    </w:p>
    <w:p>
      <w:r>
        <w:t>Yet the everyday life of many Malays remained substantially rural. Before British protection, Malaya had been relatively sparsely populated by Malay villagers engaged in agriculture, fishing and related activities. They were not, in Professor Kumar's comparison, in the same condition as the Javanese peasantry, and they were not eager to supply the wage labour required by the colonial export economy.</w:t>
      </w:r>
    </w:p>
    <w:p>
      <w:pPr>
        <w:pStyle w:val="Heading1"/>
      </w:pPr>
      <w:r>
        <w:t>2. The British Alliance with the Malay Ruling Class</w:t>
      </w:r>
    </w:p>
    <w:p>
      <w:r>
        <w:t>The British therefore made a mutually profitable alliance with the Malay ruling class. They undertook to maintain the position and prestige, if not the real power, of the Malay rulers. In return, the rulers allowed the British to build a modern export economy largely on immigrant labour. The British were careful to maintain the fiction that the Malay sultans remained sovereign rulers and that British Residents were merely advisers, though this fiction wore thin, especially in the Federated Malay States.</w:t>
      </w:r>
    </w:p>
    <w:p>
      <w:r>
        <w:t>Under the Pangkor Engagement and later agreements modelled upon it, Residents were not to advise on matters relating to Malay religion and custom. This allowed the Malay rulers to claim religion and custom as their special preserve. Councils of Muslim Religion and Malay Custom came into existence in many states, largely appointed by the rulers, and religious pomp, ceremony, administration and judicial regulation increased.</w:t>
      </w:r>
    </w:p>
    <w:tbl>
      <w:tblPr>
        <w:tblW w:type="auto" w:w="0"/>
        <w:tblLayout w:type="autofit"/>
        <w:tblLook w:firstColumn="1" w:firstRow="1" w:lastColumn="0" w:lastRow="0" w:noHBand="0" w:noVBand="1" w:val="04A0"/>
      </w:tblPr>
      <w:tblGrid>
        <w:gridCol w:w="9994"/>
      </w:tblGrid>
      <w:tr>
        <w:tc>
          <w:tcPr>
            <w:tcW w:type="dxa" w:w="9994"/>
            <w:shd w:fill="F8F2E7"/>
          </w:tcPr>
          <w:p>
            <w:r>
              <w:rPr>
                <w:rFonts w:ascii="Georgia" w:hAnsi="Georgia"/>
                <w:b/>
                <w:color w:val="1B3A5C"/>
              </w:rPr>
              <w:t>Key Point</w:t>
            </w:r>
          </w:p>
          <w:p>
            <w:pPr>
              <w:spacing w:after="0"/>
            </w:pPr>
            <w:r>
              <w:t>Malay rulers lost much real power to the British, but their symbolic authority within Malay society was often strengthened by colonial backing.</w:t>
            </w:r>
          </w:p>
        </w:tc>
      </w:tr>
    </w:tbl>
    <w:p/>
    <w:p>
      <w:pPr>
        <w:pStyle w:val="Heading1"/>
      </w:pPr>
      <w:r>
        <w:t>3. The Aristocracy and Colonial Administration</w:t>
      </w:r>
    </w:p>
    <w:p>
      <w:r>
        <w:t>The British also confirmed the position of the Malay aristocracy more broadly. Aristocrats received positions on state councils and often held land, mining rights and administrative advantages. From the early twentieth century, younger members of the aristocracy were trained for government service. Although subordinate to Europeans, they retained a superior position over Malays of lesser birth and over immigrant communities, who were largely excluded from the Malay administrative service.</w:t>
      </w:r>
    </w:p>
    <w:p>
      <w:r>
        <w:t>In the east coast states, such as Kelantan and Trengganu, the pattern was somewhat different because western-style economic development was weaker. These societies remained closer to older forms of Malay political and social order.</w:t>
      </w:r>
    </w:p>
    <w:p>
      <w:pPr>
        <w:pStyle w:val="Heading1"/>
      </w:pPr>
      <w:r>
        <w:t>4. Keeping the Malays Rural</w:t>
      </w:r>
    </w:p>
    <w:p>
      <w:r>
        <w:t>Although immigrant labour had originally been brought in because Malay villagers were unwilling or unable to supply labour and skills for the export economy, British policy soon sought actively to keep Malays as village farmers, largely outside the modern world. The Malay ruling class feared the disruptive effects that modern life might have on Malay society, partly because of the danger to its own position. Many British colonial administrators also held sentimental views of Malay village life and wanted to preserve it.</w:t>
      </w:r>
    </w:p>
    <w:p>
      <w:r>
        <w:t>Because Malaya was relatively sparsely populated, European and Chinese plantations could often expand without taking Malay land directly. The British framed policies to give Malay peasants individual title to land, preserve inherited land, encourage irrigated rice cultivation and maintain food production for a rapidly growing population. They also created Malay reservations, where land could be sold only to other Malays.</w:t>
      </w:r>
    </w:p>
    <w:p>
      <w:r>
        <w:t>The result was that Malays participated only modestly in the developing export economy. Some entered rubber smallholding after 1910, but middlemen in processing and marketing remained largely non-Malay, and later legislation restricted further Malay rubber planting in order to preserve food production and reduce competition with plantation interests.</w:t>
      </w:r>
    </w:p>
    <w:p>
      <w:pPr>
        <w:pStyle w:val="Heading1"/>
      </w:pPr>
      <w:r>
        <w:t>5. Education, Isolation and the Rural Character of Malay Society</w:t>
      </w:r>
    </w:p>
    <w:p>
      <w:r>
        <w:t>Malay elementary education also tended to isolate Malays from other communities. Most Malay children attended Malay schools, which reinforced the rural and vernacular character of Malay life. Malays formed only a small proportion of the urban population, and urban life, which elsewhere stimulated nationalism by bringing together people from different regions, had less effect among Malays before the 1940s.</w:t>
      </w:r>
    </w:p>
    <w:p>
      <w:r>
        <w:t>Malay feeling often centred on loyalties to religion or to the state, such as Johore or Negri Sembilan, rather than to a Malayan nation. Nevertheless, a broader Malay consciousness was developing. Professor Kumar identifies three leadership groups in this process, each associated with a distinct educational background.</w:t>
      </w:r>
    </w:p>
    <w:p>
      <w:pPr>
        <w:pStyle w:val="Heading1"/>
      </w:pPr>
      <w:r>
        <w:t>6. Three Leadership Groups</w:t>
      </w:r>
    </w:p>
    <w:p>
      <w:r>
        <w:t>The first group arose from the Islamic-educated religious reform movement. The second was the Malay-educated radical intelligentsia, including teachers and journalists associated with vernacular education. The third was the English-educated bureaucracy, whose upper ranks were drawn largely from the traditional Malay elite.</w:t>
      </w:r>
    </w:p>
    <w:p>
      <w:r>
        <w:t>The Malay-educated intelligentsia was strongly influenced by Indonesia. At the Sultan Idris Training College, founded in 1922, O. T. Dussek encouraged the study and development of Malay language, literature and history. Indonesian publications from Balai Pustaka were widely read, including textbooks, translations, technical manuals and modern fiction. Early Indonesian novels and periodicals had a powerful effect on Malay-educated radicals.</w:t>
      </w:r>
    </w:p>
    <w:p>
      <w:r>
        <w:t>Because so much of their reading material came from Indonesia, and because Indonesian writers had advanced the modern use of Malay, some of this group desired closer association with Indonesia, even imagining a Greater Malaysia or Greater Indonesia. Many were of peasant origin and were more influenced by the left wing of Indonesian nationalism than by conservative Malay politics. In 1936 they formed the Kesatuan Melayu Muda, but before the war it failed to gain a mass following.</w:t>
      </w:r>
    </w:p>
    <w:p>
      <w:pPr>
        <w:pStyle w:val="Heading1"/>
      </w:pPr>
      <w:r>
        <w:t>7. The English-Educated Malay Elite and the Malay Associations</w:t>
      </w:r>
    </w:p>
    <w:p>
      <w:r>
        <w:t>The third leadership group consisted of English-educated administrators and public servants, mostly drawn from the old Malay ruling class. During the Depression, Malays, Chinese and Indians competed sharply for government clerical and technical posts. Malay leaders argued that Malays needed protection in their own country. Chinese and Indian leaders argued that non-Malay communities should receive rights in proportion to their contribution to the economy.</w:t>
      </w:r>
    </w:p>
    <w:p>
      <w:r>
        <w:t>From the late 1920s, the traditional Malay ruling class and the Malay bureaucratic elite showed growing concern about the disadvantaged position of Malays in the modern world. Durbars of rulers became more regular, and Malay members of federal and state councils pressed for more government jobs for English-educated Malays and for more Malay land reservations.</w:t>
      </w:r>
    </w:p>
    <w:p>
      <w:r>
        <w:t>In 1936, elements of the English-educated Malay elite began to form Malay Associations on a state basis. These associations were conservative and loyal to the rulers and the British, whom they saw as a protection against immigrant communities. They had more success than Malay-educated radicals in attracting Malay support because they were tied to the traditional aristocracy, to which many Malays remained loyal.</w:t>
      </w:r>
    </w:p>
    <w:tbl>
      <w:tblPr>
        <w:tblW w:type="auto" w:w="0"/>
        <w:tblLayout w:type="autofit"/>
        <w:tblLook w:firstColumn="1" w:firstRow="1" w:lastColumn="0" w:lastRow="0" w:noHBand="0" w:noVBand="1" w:val="04A0"/>
      </w:tblPr>
      <w:tblGrid>
        <w:gridCol w:w="9994"/>
      </w:tblGrid>
      <w:tr>
        <w:tc>
          <w:tcPr>
            <w:tcW w:type="dxa" w:w="9994"/>
            <w:shd w:fill="F8F2E7"/>
          </w:tcPr>
          <w:p>
            <w:r>
              <w:rPr>
                <w:rFonts w:ascii="Georgia" w:hAnsi="Georgia"/>
                <w:b/>
                <w:color w:val="1B3A5C"/>
              </w:rPr>
              <w:t>Interpretive Point</w:t>
            </w:r>
          </w:p>
          <w:p>
            <w:pPr>
              <w:spacing w:after="0"/>
            </w:pPr>
            <w:r>
              <w:t>The traditional aristocracy did not disappear under colonial rule. It became one of the main channels through which Malay political feeling was organised.</w:t>
            </w:r>
          </w:p>
        </w:tc>
      </w:tr>
    </w:tbl>
    <w:p/>
    <w:p>
      <w:pPr>
        <w:pStyle w:val="Heading1"/>
      </w:pPr>
      <w:r>
        <w:t>8. Japanese Occupation and Communal Divisions</w:t>
      </w:r>
    </w:p>
    <w:p>
      <w:r>
        <w:t>The Japanese occupation worsened communal divisions. On the whole, the Japanese treated Malays less harshly than Chinese. Since the outbreak of war between China and Japan in 1937, Malayan Chinese had contributed to China relief funds, and the Japanese targeted many Chinese, including teachers, students, officials and community leaders.</w:t>
      </w:r>
    </w:p>
    <w:p>
      <w:r>
        <w:t>The main active guerrilla resistance to the Japanese was Chinese-led: the Malayan People's Anti-Japanese Army, associated with the Malayan Communist Party. Some Indians joined the Indian National Army; many others were taken as labourers, including to the Burma railway. Many Malays obtained positions under the Japanese that they could not have attained under the British. After the Japanese surrender, old scores were settled and communal fear deepened.</w:t>
      </w:r>
    </w:p>
    <w:p>
      <w:pPr>
        <w:pStyle w:val="Heading1"/>
      </w:pPr>
      <w:r>
        <w:t>9. The Malayan Union and the Birth of UMNO</w:t>
      </w:r>
    </w:p>
    <w:p>
      <w:r>
        <w:t>Malaya achieved independence in a different manner from Indonesia. During the war, the British had planned a modern, unified Malay state. The Malayan Union plan, announced in January 1946, proposed a unified Malayan state, excluding Singapore, and required the Malay sultans to surrender jurisdiction to the British Crown. It also proposed liberal citizenship provisions for non-Malay residents.</w:t>
      </w:r>
    </w:p>
    <w:p>
      <w:r>
        <w:t>The Malayan Union became one of the most controversial British acts in Malaya. Critics such as Winstedt regarded it as a betrayal of the Malays and their rulers. Others, including Purcell, saw its citizenship provisions as just. Whatever the merits, Malay opposition was intense. Onn bin Jaafar of Johore helped create a mass Malay movement, the United Malays National Organisation, or UMNO, to oppose the Union.</w:t>
      </w:r>
    </w:p>
    <w:p>
      <w:r>
        <w:t>The Union came into force in April 1946 but was abandoned after eighteen months. Negotiations between the British government, Malay rulers and UMNO led to the Federation of Malaya, inaugurated on 1 February 1948. This restored a more federal system based on the traditional state structure, with restricted citizenship and a nominated legislative council.</w:t>
      </w:r>
    </w:p>
    <w:p>
      <w:pPr>
        <w:pStyle w:val="Heading1"/>
      </w:pPr>
      <w:r>
        <w:t>10. Emergency, MCA and the Alliance Road to Independence</w:t>
      </w:r>
    </w:p>
    <w:p>
      <w:r>
        <w:t>The Malayan Communist Party initially worked through trade unions after the war, especially among Chinese workers. In 1948 it turned to armed revolt, beginning the Emergency, which lasted twelve years though its most serious phase was over by the mid-1950s. The Malayan Races Liberation Army was overwhelmingly Chinese, and it did not win Malay support because many Malays viewed it as a Chinese attempt to take over.</w:t>
      </w:r>
    </w:p>
    <w:p>
      <w:r>
        <w:t>The Emergency encouraged leading Chinese to form a respectable political organisation. In 1949, Western-educated Chinese leaders including Tan Cheng Lock and H. S. Lee formed the Malayan Chinese Association. Its stated aim included the promotion of interracial harmony. The existence of UMNO and the MCA, and British recognition that the best answer to communism was progress toward independence, improved the political situation.</w:t>
      </w:r>
    </w:p>
    <w:p>
      <w:r>
        <w:t>A British-sponsored liaison committee encouraged reconciliation between Malay and Chinese representatives. Plans emerged in which the Chinese obtained more liberal citizenship proposals in return for economic assistance to Malays, who were recognised as economically disadvantaged.</w:t>
      </w:r>
    </w:p>
    <w:p>
      <w:pPr>
        <w:pStyle w:val="Heading1"/>
      </w:pPr>
      <w:r>
        <w:t>11. Alliance, Compromise and Independence</w:t>
      </w:r>
    </w:p>
    <w:p>
      <w:r>
        <w:t>In 1952, the first democratic elections took place, and UMNO and the MCA formed a temporary pact. Its success led to a permanent alliance. In August 1953 the National Alliance was formed, and in October 1954 the Malayan Indian Congress joined, completing the communal spectrum.</w:t>
      </w:r>
    </w:p>
    <w:p>
      <w:r>
        <w:t>The 1955 elections opened the way to independence. The Alliance leaders were moderate, often aristocratic Malays and well-to-do Chinese and Indian businessmen. They appeared to offer political stability and protection for British investments. Negotiations still involved difficult issues of citizenship, language and the special position of Malays, but UMNO and the MCA eventually presented compromise proposals.</w:t>
      </w:r>
    </w:p>
    <w:p>
      <w:r>
        <w:t>The compromise preserved the Malay sultans as constitutional monarchs, established a paramount ruler chosen from among them, made Islam the state religion while allowing freedom of religion, extended citizenship to those born in Malaya and to resident Chinese and Indians by naturalisation, provided for Malay to become the national language after a transitional period, and recognised the special position of Malays through reservations in public service, scholarships and economic opportunities.</w:t>
      </w:r>
    </w:p>
    <w:p>
      <w:r>
        <w:t>The British accepted these proposals, and on 31 August 1957 the independent Federation of Malaya came into being.</w:t>
      </w:r>
    </w:p>
    <w:p>
      <w:pPr>
        <w:pStyle w:val="Heading1"/>
      </w:pPr>
      <w:r>
        <w:t>12. Conclusion</w:t>
      </w:r>
    </w:p>
    <w:p>
      <w:r>
        <w:t>Professor Kumar's argument is that Malay national feeling developed through a distinctive colonial and communal structure. It did not emerge primarily through urban revolutionary nationalism or armed struggle. It grew through the interaction of British protection, Malay rulers, vernacular and English education, communal competition, the Malayan Union crisis, UMNO, the MCA and the Alliance compromise. The traditional aristocracy was not simply a relic: it became central to the political form through which Malay nationalism entered independence.</w:t>
      </w:r>
    </w:p>
    <w:sectPr w:rsidR="00FC693F" w:rsidRPr="0006063C" w:rsidSect="00034616">
      <w:headerReference w:type="default" r:id="rId9"/>
      <w:footerReference w:type="default" r:id="rId10"/>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4A5568"/>
        <w:sz w:val="16"/>
      </w:rPr>
      <w:t>AK-L17 - The Growth of Malay National Feeling and the Traditional Aristocracy</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color w:val="4A5568"/>
        <w:sz w:val="16"/>
      </w:rPr>
      <w:t>Professor Ann Kumar Southeast Asian Civilisation Archive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40"/>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1B3A5C"/>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1B3A5C"/>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1B3A5C"/>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Georgia" w:hAnsi="Georgia" w:eastAsia="Georgia"/>
      <w:color w:val="1B3A5C"/>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AK-L17: The Growth of Malay National Feeling and the Traditional Aristocracy</dc:title>
  <dc:subject/>
  <dc:creator>Kevin Parker / Prof. Ann Kumar Archive Project</dc:creator>
  <cp:keywords/>
  <dc:description>generated by python-docx</dc:description>
  <cp:lastModifiedBy/>
  <cp:revision>1</cp:revision>
  <dcterms:created xsi:type="dcterms:W3CDTF">2013-12-23T23:15:00Z</dcterms:created>
  <dcterms:modified xsi:type="dcterms:W3CDTF">2013-12-23T23:15:00Z</dcterms:modified>
  <cp:category/>
</cp:coreProperties>
</file>