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C5943A"/>
          <w:sz w:val="18"/>
        </w:rPr>
        <w:t>Professor Ann Kumar Southeast Asian Civilisation Archive</w:t>
      </w:r>
    </w:p>
    <w:p>
      <w:pPr>
        <w:pStyle w:val="Title"/>
        <w:jc w:val="center"/>
      </w:pPr>
      <w:r>
        <w:t>AK-L16: Japanese Occupation, Revolution and Independence, 1942-1949</w:t>
      </w:r>
    </w:p>
    <w:p>
      <w:pPr>
        <w:jc w:val="center"/>
      </w:pPr>
      <w:r>
        <w:rPr>
          <w:b/>
          <w:color w:val="1B3A5C"/>
          <w:sz w:val="26"/>
        </w:rPr>
        <w:t>Lecture Synopsis</w:t>
      </w:r>
    </w:p>
    <w:p>
      <w:pPr>
        <w:jc w:val="center"/>
        <w:pBdr>
          <w:bottom w:val="single" w:sz="8" w:space="6" w:color="C5943A"/>
        </w:pBdr>
      </w:pPr>
      <w:r>
        <w:rPr>
          <w:i/>
          <w:color w:val="4A5568"/>
        </w:rPr>
        <w:t>A concise teaching summary of the Japanese occupation, revolutionary struggle and transfer of sovereignty.</w:t>
      </w:r>
    </w:p>
    <w:p>
      <w:pPr>
        <w:pStyle w:val="Heading1"/>
      </w:pPr>
      <w:r>
        <w:t>Overview</w:t>
      </w:r>
    </w:p>
    <w:p>
      <w:r>
        <w:t>This lecture continues Professor Kumar's treatment of Indonesian nationalism from the Japanese occupation in 1942 to the transfer of sovereignty in December 1949. It shows how the Japanese occupation both damaged Indonesian society and accelerated nationalist mobilisation, and how the revolutionary period produced the military, youth and political tensions that shaped the new Republic.</w:t>
      </w:r>
    </w:p>
    <w:p>
      <w:pPr>
        <w:pStyle w:val="Heading1"/>
      </w:pPr>
      <w:r>
        <w:t>Core Argument</w:t>
      </w:r>
    </w:p>
    <w:p>
      <w:r>
        <w:t>Professor Kumar presents the Revolution not as a clean handover from colonialism to nationhood, but as a turbulent transition marked by propaganda, military mobilisation, economic collapse, youth militancy, elite negotiation, Dutch federal strategy, guerrilla war and difficult concessions. Independence emerged from both diplomatic negotiation and armed struggle, but the form of the new state was burdened by unresolved colonial legacies.</w:t>
      </w:r>
    </w:p>
    <w:p>
      <w:pPr>
        <w:pStyle w:val="Heading1"/>
      </w:pPr>
      <w:r>
        <w:t>Key Points</w:t>
      </w:r>
    </w:p>
    <w:p>
      <w:pPr>
        <w:pStyle w:val="ListBullet"/>
      </w:pPr>
      <w:r>
        <w:t>The Japanese defeat of the Dutch in 1942 broke the authority of Dutch colonial rule.</w:t>
      </w:r>
    </w:p>
    <w:p>
      <w:pPr>
        <w:pStyle w:val="ListBullet"/>
      </w:pPr>
      <w:r>
        <w:t>Japanese policy gave nationalist leaders such as Sukarno and Hatta mass propaganda opportunities denied under the Dutch.</w:t>
      </w:r>
    </w:p>
    <w:p>
      <w:pPr>
        <w:pStyle w:val="ListBullet"/>
      </w:pPr>
      <w:r>
        <w:t>The use of Indonesian as a school language encouraged national sentiment.</w:t>
      </w:r>
    </w:p>
    <w:p>
      <w:pPr>
        <w:pStyle w:val="ListBullet"/>
      </w:pPr>
      <w:r>
        <w:t>Japanese rule was also coercive, exploitative and economically destructive.</w:t>
      </w:r>
    </w:p>
    <w:p>
      <w:pPr>
        <w:pStyle w:val="ListBullet"/>
      </w:pPr>
      <w:r>
        <w:t>PETA created, for the first time, a significant Indonesian officer cadre.</w:t>
      </w:r>
    </w:p>
    <w:p>
      <w:pPr>
        <w:pStyle w:val="ListBullet"/>
      </w:pPr>
      <w:r>
        <w:t>Sukarno and Hatta proclaimed independence two days after the Japanese surrender.</w:t>
      </w:r>
    </w:p>
    <w:p>
      <w:pPr>
        <w:pStyle w:val="ListBullet"/>
      </w:pPr>
      <w:r>
        <w:t>The pemuda movement gave the Revolution much of its popular and militant force.</w:t>
      </w:r>
    </w:p>
    <w:p>
      <w:pPr>
        <w:pStyle w:val="ListBullet"/>
      </w:pPr>
      <w:r>
        <w:t>The older nationalist elite preferred negotiation, while many pemuda favoured uncompromising struggle.</w:t>
      </w:r>
    </w:p>
    <w:p>
      <w:pPr>
        <w:pStyle w:val="ListBullet"/>
      </w:pPr>
      <w:r>
        <w:t>Linggadjati and Renville reflected Dutch efforts to weaken the Republic through federal structures and regional states.</w:t>
      </w:r>
    </w:p>
    <w:p>
      <w:pPr>
        <w:pStyle w:val="ListBullet"/>
      </w:pPr>
      <w:r>
        <w:t>The Dutch Police Actions succeeded militarily but failed politically, provoking guerrilla war and international opposition.</w:t>
      </w:r>
    </w:p>
    <w:p>
      <w:pPr>
        <w:pStyle w:val="ListBullet"/>
      </w:pPr>
      <w:r>
        <w:t>The Hague Agreement transferred sovereignty but imposed burdens over debt, Dutch investors and New Guinea.</w:t>
      </w:r>
    </w:p>
    <w:p>
      <w:pPr>
        <w:pStyle w:val="Heading1"/>
      </w:pPr>
      <w:r>
        <w:t>Key Terms</w:t>
      </w:r>
    </w:p>
    <w:tbl>
      <w:tblPr>
        <w:tblStyle w:val="TableGrid"/>
        <w:tblW w:type="auto" w:w="0"/>
        <w:tblLook w:firstColumn="1" w:firstRow="1" w:lastColumn="0" w:lastRow="0" w:noHBand="0" w:noVBand="1" w:val="04A0"/>
      </w:tblPr>
      <w:tblGrid>
        <w:gridCol w:w="4997"/>
        <w:gridCol w:w="4997"/>
      </w:tblGrid>
      <w:tr>
        <w:tc>
          <w:tcPr>
            <w:tcW w:type="dxa" w:w="4997"/>
            <w:shd w:fill="D5E8F0"/>
          </w:tcPr>
          <w:p>
            <w:r>
              <w:t>Term</w:t>
            </w:r>
          </w:p>
        </w:tc>
        <w:tc>
          <w:tcPr>
            <w:tcW w:type="dxa" w:w="4997"/>
            <w:shd w:fill="D5E8F0"/>
          </w:tcPr>
          <w:p>
            <w:r>
              <w:t>Meaning</w:t>
            </w:r>
          </w:p>
        </w:tc>
      </w:tr>
      <w:tr>
        <w:tc>
          <w:tcPr>
            <w:tcW w:type="dxa" w:w="4997"/>
          </w:tcPr>
          <w:p>
            <w:r>
              <w:t>PETA</w:t>
            </w:r>
          </w:p>
        </w:tc>
        <w:tc>
          <w:tcPr>
            <w:tcW w:type="dxa" w:w="4997"/>
          </w:tcPr>
          <w:p>
            <w:r>
              <w:t>Pembela Tanah Air, the Japanese-created Indonesian military force that produced an Indonesian officer cadre.</w:t>
            </w:r>
          </w:p>
        </w:tc>
      </w:tr>
      <w:tr>
        <w:tc>
          <w:tcPr>
            <w:tcW w:type="dxa" w:w="4997"/>
          </w:tcPr>
          <w:p>
            <w:r>
              <w:t>Pemuda</w:t>
            </w:r>
          </w:p>
        </w:tc>
        <w:tc>
          <w:tcPr>
            <w:tcW w:type="dxa" w:w="4997"/>
          </w:tcPr>
          <w:p>
            <w:r>
              <w:t>Youth activists and fighters whose local struggle bodies were central in the revolutionary period.</w:t>
            </w:r>
          </w:p>
        </w:tc>
      </w:tr>
      <w:tr>
        <w:tc>
          <w:tcPr>
            <w:tcW w:type="dxa" w:w="4997"/>
          </w:tcPr>
          <w:p>
            <w:r>
              <w:t>Proclamation of Independence</w:t>
            </w:r>
          </w:p>
        </w:tc>
        <w:tc>
          <w:tcPr>
            <w:tcW w:type="dxa" w:w="4997"/>
          </w:tcPr>
          <w:p>
            <w:r>
              <w:t>Sukarno and Hatta's declaration of Indonesian independence in August 1945.</w:t>
            </w:r>
          </w:p>
        </w:tc>
      </w:tr>
      <w:tr>
        <w:tc>
          <w:tcPr>
            <w:tcW w:type="dxa" w:w="4997"/>
          </w:tcPr>
          <w:p>
            <w:r>
              <w:t>Constitution of 1945</w:t>
            </w:r>
          </w:p>
        </w:tc>
        <w:tc>
          <w:tcPr>
            <w:tcW w:type="dxa" w:w="4997"/>
          </w:tcPr>
          <w:p>
            <w:r>
              <w:t>The constitution drafted after the proclamation, establishing Sukarno as President and Hatta as Vice-President.</w:t>
            </w:r>
          </w:p>
        </w:tc>
      </w:tr>
      <w:tr>
        <w:tc>
          <w:tcPr>
            <w:tcW w:type="dxa" w:w="4997"/>
          </w:tcPr>
          <w:p>
            <w:r>
              <w:t>Linggadjati Agreement</w:t>
            </w:r>
          </w:p>
        </w:tc>
        <w:tc>
          <w:tcPr>
            <w:tcW w:type="dxa" w:w="4997"/>
          </w:tcPr>
          <w:p>
            <w:r>
              <w:t>1946 agreement recognising the Republic de facto on Java and Sumatra and proposing a federal Indonesia.</w:t>
            </w:r>
          </w:p>
        </w:tc>
      </w:tr>
      <w:tr>
        <w:tc>
          <w:tcPr>
            <w:tcW w:type="dxa" w:w="4997"/>
          </w:tcPr>
          <w:p>
            <w:r>
              <w:t>Renville Agreement</w:t>
            </w:r>
          </w:p>
        </w:tc>
        <w:tc>
          <w:tcPr>
            <w:tcW w:type="dxa" w:w="4997"/>
          </w:tcPr>
          <w:p>
            <w:r>
              <w:t>1948 agreement signed after the First Police Action, when the Republic was in a weak military position.</w:t>
            </w:r>
          </w:p>
        </w:tc>
      </w:tr>
      <w:tr>
        <w:tc>
          <w:tcPr>
            <w:tcW w:type="dxa" w:w="4997"/>
          </w:tcPr>
          <w:p>
            <w:r>
              <w:t>Police Actions</w:t>
            </w:r>
          </w:p>
        </w:tc>
        <w:tc>
          <w:tcPr>
            <w:tcW w:type="dxa" w:w="4997"/>
          </w:tcPr>
          <w:p>
            <w:r>
              <w:t>Dutch term for military offensives against the Republic in 1947 and 1948.</w:t>
            </w:r>
          </w:p>
        </w:tc>
      </w:tr>
      <w:tr>
        <w:tc>
          <w:tcPr>
            <w:tcW w:type="dxa" w:w="4997"/>
          </w:tcPr>
          <w:p>
            <w:r>
              <w:t>Hague Agreement</w:t>
            </w:r>
          </w:p>
        </w:tc>
        <w:tc>
          <w:tcPr>
            <w:tcW w:type="dxa" w:w="4997"/>
          </w:tcPr>
          <w:p>
            <w:r>
              <w:t>1949 settlement transferring sovereignty to a federal United States of Indonesia.</w:t>
            </w:r>
          </w:p>
        </w:tc>
      </w:tr>
      <w:tr>
        <w:tc>
          <w:tcPr>
            <w:tcW w:type="dxa" w:w="4997"/>
          </w:tcPr>
          <w:p>
            <w:r>
              <w:t>Bangka</w:t>
            </w:r>
          </w:p>
        </w:tc>
        <w:tc>
          <w:tcPr>
            <w:tcW w:type="dxa" w:w="4997"/>
          </w:tcPr>
          <w:p>
            <w:r>
              <w:t>Island to which captured Republican leaders were sent after the Dutch took Jogja.</w:t>
            </w:r>
          </w:p>
        </w:tc>
      </w:tr>
      <w:tr>
        <w:tc>
          <w:tcPr>
            <w:tcW w:type="dxa" w:w="4997"/>
          </w:tcPr>
          <w:p>
            <w:r>
              <w:t>New Guinea / West Irian</w:t>
            </w:r>
          </w:p>
        </w:tc>
        <w:tc>
          <w:tcPr>
            <w:tcW w:type="dxa" w:w="4997"/>
          </w:tcPr>
          <w:p>
            <w:r>
              <w:t>Territory excluded from immediate sovereignty transfer, later central to Indonesian anti-colonial politics.</w:t>
            </w:r>
          </w:p>
        </w:tc>
      </w:tr>
    </w:tbl>
    <w:p>
      <w:pPr>
        <w:pStyle w:val="Heading1"/>
      </w:pPr>
      <w:r>
        <w:t>Why It Matters in the Archive</w:t>
      </w:r>
    </w:p>
    <w:p>
      <w:r>
        <w:t>This lecture completes the Nationalist Awakening arc. It connects the early nationalist organisations of AK-L15 with the actual creation of the Indonesian state. It also explains why independence did not immediately produce political or economic stability: the Revolution left behind armed youth networks, a growing army, elite-youth tension, anti-minority violence, debt, unresolved territorial issues and a powerful memory of anti-colonial struggle.</w:t>
      </w:r>
    </w:p>
    <w:sectPr w:rsidR="00FC693F" w:rsidRPr="0006063C" w:rsidSect="00034616">
      <w:headerReference w:type="default" r:id="rId9"/>
      <w:footerReference w:type="default" r:id="rId10"/>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4A5568"/>
        <w:sz w:val="16"/>
      </w:rPr>
      <w:t>AK-L16 - Japanese Occupation, Revolution and Independence, 1942-1949</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color w:val="4A5568"/>
        <w:sz w:val="16"/>
      </w:rPr>
      <w:t>Professor Ann Kumar Southeast Asian Civilisation Archive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40"/>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1B3A5C"/>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1B3A5C"/>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1B3A5C"/>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Georgia" w:hAnsi="Georgia" w:eastAsia="Georgia"/>
      <w:color w:val="1B3A5C"/>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AK-L16: Japanese Occupation, Revolution and Independence, 1942-1949</dc:title>
  <dc:subject/>
  <dc:creator>Kevin Parker / Prof. Ann Kumar Archive Project</dc:creator>
  <cp:keywords/>
  <dc:description>generated by python-docx</dc:description>
  <cp:lastModifiedBy/>
  <cp:revision>1</cp:revision>
  <dcterms:created xsi:type="dcterms:W3CDTF">2013-12-23T23:15:00Z</dcterms:created>
  <dcterms:modified xsi:type="dcterms:W3CDTF">2013-12-23T23:15:00Z</dcterms:modified>
  <cp:category/>
</cp:coreProperties>
</file>