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pStyle w:val="Title"/>
        <w:jc w:val="center"/>
      </w:pPr>
      <w:r>
        <w:t>AK-L15: The Rise of Indonesian Nationalism, 1900-1942</w:t>
      </w:r>
    </w:p>
    <w:p>
      <w:pPr>
        <w:jc w:val="center"/>
      </w:pPr>
      <w:r>
        <w:rPr>
          <w:b/>
          <w:color w:val="1B3A5C"/>
          <w:sz w:val="26"/>
        </w:rPr>
        <w:t>Web Publishing Notes</w:t>
      </w:r>
    </w:p>
    <w:p>
      <w:pPr>
        <w:jc w:val="center"/>
        <w:pBdr>
          <w:bottom w:val="single" w:sz="8" w:space="6" w:color="C5943A"/>
        </w:pBdr>
      </w:pPr>
      <w:r>
        <w:rPr>
          <w:i/>
          <w:color w:val="4A5568"/>
        </w:rPr>
        <w:t>Practical publishing notes for WordPress, SEO and archive linking.</w:t>
      </w:r>
    </w:p>
    <w:p>
      <w:pPr>
        <w:pStyle w:val="Heading1"/>
      </w:pPr>
      <w:r>
        <w:t>Recommended WordPress Title</w:t>
      </w:r>
    </w:p>
    <w:p>
      <w:r>
        <w:t>The Rise of Indonesian Nationalism, 1900-1942</w:t>
      </w:r>
    </w:p>
    <w:p>
      <w:pPr>
        <w:pStyle w:val="Heading1"/>
      </w:pPr>
      <w:r>
        <w:t>Recommended Slug</w:t>
      </w:r>
    </w:p>
    <w:p>
      <w:r>
        <w:t>/the-rise-of-indonesian-nationalism-1900-1942/</w:t>
      </w:r>
    </w:p>
    <w:p>
      <w:pPr>
        <w:pStyle w:val="Heading1"/>
      </w:pPr>
      <w:r>
        <w:t>Standard File Names</w:t>
      </w:r>
    </w:p>
    <w:p>
      <w:pPr>
        <w:pStyle w:val="ListBullet"/>
      </w:pPr>
      <w:r>
        <w:t>AK-L15_The-Rise-of-Indonesian-Nationalism-1900-1942_Original-Lecture-Notes.pdf</w:t>
      </w:r>
    </w:p>
    <w:p>
      <w:pPr>
        <w:pStyle w:val="ListBullet"/>
      </w:pPr>
      <w:r>
        <w:t>AK-L15_The-Rise-of-Indonesian-Nationalism-1900-1942_Clean-Transcript.docx</w:t>
      </w:r>
    </w:p>
    <w:p>
      <w:pPr>
        <w:pStyle w:val="ListBullet"/>
      </w:pPr>
      <w:r>
        <w:t>AK-L15_The-Rise-of-Indonesian-Nationalism-1900-1942_Lecture-Synopsis.docx</w:t>
      </w:r>
    </w:p>
    <w:p>
      <w:pPr>
        <w:pStyle w:val="ListBullet"/>
      </w:pPr>
      <w:r>
        <w:t>AK-L15_The-Rise-of-Indonesian-Nationalism-1900-1942_Further-Reading.docx</w:t>
      </w:r>
    </w:p>
    <w:p>
      <w:pPr>
        <w:pStyle w:val="ListBullet"/>
      </w:pPr>
      <w:r>
        <w:t>AK-L15_The-Rise-of-Indonesian-Nationalism-1900-1942_Web-Publishing-Notes.docx</w:t>
      </w:r>
    </w:p>
    <w:p>
      <w:pPr>
        <w:pStyle w:val="Heading1"/>
      </w:pPr>
      <w:r>
        <w:t>SEO Title</w:t>
      </w:r>
    </w:p>
    <w:p>
      <w:r>
        <w:t>The Rise of Indonesian Nationalism, 1900-1942 | Ann Kumar Archive</w:t>
      </w:r>
    </w:p>
    <w:p>
      <w:pPr>
        <w:pStyle w:val="Heading1"/>
      </w:pPr>
      <w:r>
        <w:t>Meta Description</w:t>
      </w:r>
    </w:p>
    <w:p>
      <w:r>
        <w:t>Professor Ann Kumar lecture resource on Indonesian nationalism, Budi Utomo, Sarekat Islam, the PKI, PNI, Sumpah Pemuda, Sukarno, Hatta and late Dutch colonial repression.</w:t>
      </w:r>
    </w:p>
    <w:p>
      <w:pPr>
        <w:pStyle w:val="Heading1"/>
      </w:pPr>
      <w:r>
        <w:t>Suggested Image Concepts</w:t>
      </w:r>
    </w:p>
    <w:p>
      <w:pPr>
        <w:pStyle w:val="ListBullet"/>
      </w:pPr>
      <w:r>
        <w:t>A multi-strand diagram showing Budi Utomo, Sarekat Islam, PKI, PNI and youth organisations converging toward Sumpah Pemuda.</w:t>
      </w:r>
    </w:p>
    <w:p>
      <w:pPr>
        <w:pStyle w:val="ListBullet"/>
      </w:pPr>
      <w:r>
        <w:t>A conceptual map of the Dutch East Indies showing administrative unity, regional identities and nationalist centres.</w:t>
      </w:r>
    </w:p>
    <w:p>
      <w:pPr>
        <w:pStyle w:val="ListBullet"/>
      </w:pPr>
      <w:r>
        <w:t>A timeline from 1908 to 1942, ending with the Japanese invasion as a transition point rather than the conclusion.</w:t>
      </w:r>
    </w:p>
    <w:p>
      <w:pPr>
        <w:pStyle w:val="Heading1"/>
      </w:pPr>
      <w:r>
        <w:t>Suggested Alt Text</w:t>
      </w:r>
    </w:p>
    <w:p>
      <w:r>
        <w:t>Infographic showing the rise of Indonesian nationalism from Budi Utomo and Sarekat Islam to the PNI and the 1928 Youth Pledge.</w:t>
      </w:r>
    </w:p>
    <w:p>
      <w:pPr>
        <w:pStyle w:val="Heading1"/>
      </w:pPr>
      <w:r>
        <w:t>Archives Page Row</w:t>
      </w:r>
    </w:p>
    <w:p>
      <w:r>
        <w:t>&lt;tr&gt;</w:t>
        <w:br/>
        <w:t xml:space="preserve">  &lt;td&gt;&lt;a href="/the-rise-of-indonesian-nationalism-1900-1942/"&gt;The Rise of Indonesian Nationalism, 1900-1942&lt;/a&gt;&lt;/td&gt;</w:t>
        <w:br/>
        <w:t xml:space="preserve">  &lt;td&gt;PDF 012&lt;/td&gt;</w:t>
        <w:br/>
        <w:t xml:space="preserve">  &lt;td&gt;&lt;a href="PASTE-ORIGINAL-SCAN-PDF-URL-HERE"&gt;PDF&lt;/a&gt;&lt;/td&gt;</w:t>
        <w:br/>
        <w:t xml:space="preserve">  &lt;td&gt;&lt;a href="PASTE-CLEAN-TRANSCRIPT-DOCX-URL-HERE"&gt;DOCX&lt;/a&gt;&lt;/td&gt;</w:t>
        <w:br/>
        <w:t xml:space="preserve">  &lt;td&gt;&lt;a href="PASTE-LECTURE-SYNOPSIS-DOCX-URL-HERE"&gt;DOCX&lt;/a&gt;&lt;/td&gt;</w:t>
        <w:br/>
        <w:t xml:space="preserve">  &lt;td&gt;&lt;a href="PASTE-FURTHER-READING-DOCX-URL-HERE"&gt;DOCX&lt;/a&gt;&lt;/td&gt;</w:t>
        <w:br/>
        <w:t>&lt;/tr&gt;</w:t>
      </w:r>
    </w:p>
    <w:p>
      <w:pPr>
        <w:pStyle w:val="Heading1"/>
      </w:pPr>
      <w:r>
        <w:t>Resource Button Order</w:t>
      </w:r>
    </w:p>
    <w:p>
      <w:pPr>
        <w:pStyle w:val="ListBullet"/>
      </w:pPr>
      <w:r>
        <w:t>Lecture Synopsis</w:t>
      </w:r>
    </w:p>
    <w:p>
      <w:pPr>
        <w:pStyle w:val="ListBullet"/>
      </w:pPr>
      <w:r>
        <w:t>Clean Transcript</w:t>
      </w:r>
    </w:p>
    <w:p>
      <w:pPr>
        <w:pStyle w:val="ListBullet"/>
      </w:pPr>
      <w:r>
        <w:t>Original Lecture Notes</w:t>
      </w:r>
    </w:p>
    <w:p>
      <w:pPr>
        <w:pStyle w:val="ListBullet"/>
      </w:pPr>
      <w:r>
        <w:t>Further Reading</w:t>
      </w:r>
    </w:p>
    <w:p>
      <w:pPr>
        <w:pStyle w:val="Heading1"/>
      </w:pPr>
      <w:r>
        <w:t>Proofing Notes</w:t>
      </w:r>
    </w:p>
    <w:p>
      <w:pPr>
        <w:pStyle w:val="ListBullet"/>
      </w:pPr>
      <w:r>
        <w:t>Check dates for Budi Utomo, Sarekat Islam, PKI, PNI and Sumpah Pemuda against the original scan.</w:t>
      </w:r>
    </w:p>
    <w:p>
      <w:pPr>
        <w:pStyle w:val="ListBullet"/>
      </w:pPr>
      <w:r>
        <w:t>Confirm spellings: Perhimpunan Indonesia, Sarekat Islam, Boven Digul, Sjahrir/Syahrir, Bengkulu/Bencoolen.</w:t>
      </w:r>
    </w:p>
    <w:p>
      <w:pPr>
        <w:pStyle w:val="ListBullet"/>
      </w:pPr>
      <w:r>
        <w:t>Confirm the division point between AK-L15 and AK-L16 at the Japanese occupation in 1942.</w:t>
      </w:r>
    </w:p>
    <w:p>
      <w:pPr>
        <w:pStyle w:val="ListBullet"/>
      </w:pPr>
      <w:r>
        <w:t>Decide whether public copy should use "Sjahrir" or "Syahrir" consistently.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4A5568"/>
        <w:sz w:val="16"/>
      </w:rPr>
      <w:t>AK-L15 - The Rise of Indonesian Nationalism, 1900-1942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4A5568"/>
        <w:sz w:val="16"/>
      </w:rPr>
      <w:t>Professor Ann Kumar Southeast Asian Civilisation Archive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76" w:lineRule="auto" w:after="140"/>
    </w:pPr>
    <w:rPr>
      <w:rFonts w:ascii="Aptos" w:hAnsi="Aptos" w:eastAsia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eorgia" w:hAnsi="Georgia" w:eastAsia="Georgia"/>
      <w:color w:val="1B3A5C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AK-L15: The Rise of Indonesian Nationalism, 1900-1942</dc:title>
  <dc:subject/>
  <dc:creator>Kevin Parker / Prof. Ann Kumar Archive Project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