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AK-L15: The Rise of Indonesian Nationalism, 1900-1942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Indonesian nationalism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George McTurnan Kahin, Nationalism and Revolution in Indonesia</w:t>
      </w:r>
    </w:p>
    <w:p>
      <w:r>
        <w:t>A major account of Indonesian nationalism, revolution and the struggle for independence.</w:t>
      </w:r>
    </w:p>
    <w:p>
      <w:r>
        <w:rPr>
          <w:b/>
          <w:color w:val="1B3A5C"/>
        </w:rPr>
        <w:t>Robert van Niel, The Emergence of the Modern Indonesian Elite</w:t>
      </w:r>
    </w:p>
    <w:p>
      <w:r>
        <w:t>Essential for understanding how late colonial education and administration formed the modern Indonesian elite.</w:t>
      </w:r>
    </w:p>
    <w:p>
      <w:r>
        <w:rPr>
          <w:b/>
          <w:color w:val="1B3A5C"/>
        </w:rPr>
        <w:t>J. D. Legge, Indonesia</w:t>
      </w:r>
    </w:p>
    <w:p>
      <w:r>
        <w:t>A compact overview useful for Ethical Policy, education, political organisations and nationalism.</w:t>
      </w:r>
    </w:p>
    <w:p>
      <w:r>
        <w:rPr>
          <w:b/>
          <w:color w:val="1B3A5C"/>
        </w:rPr>
        <w:t>Harry J. Benda, The Crescent and the Rising Sun</w:t>
      </w:r>
    </w:p>
    <w:p>
      <w:r>
        <w:t>Useful for Islam, colonial policy and the transition into Japanese occupation.</w:t>
      </w:r>
    </w:p>
    <w:p>
      <w:r>
        <w:rPr>
          <w:b/>
          <w:color w:val="1B3A5C"/>
        </w:rPr>
        <w:t>Sukarno, writings and speeches</w:t>
      </w:r>
    </w:p>
    <w:p>
      <w:r>
        <w:t>Important for understanding the PNI, mass mobilisation and secular nationalist rhetoric.</w:t>
      </w:r>
    </w:p>
    <w:p>
      <w:r>
        <w:rPr>
          <w:b/>
          <w:color w:val="1B3A5C"/>
        </w:rPr>
        <w:t>Mohammad Hatta, memoirs and political writings</w:t>
      </w:r>
    </w:p>
    <w:p>
      <w:r>
        <w:t>Useful for the cadre-based, organisational and intellectual strand of nationalism.</w:t>
      </w:r>
    </w:p>
    <w:p>
      <w:r>
        <w:rPr>
          <w:b/>
          <w:color w:val="1B3A5C"/>
        </w:rPr>
        <w:t>Sutan Sjahrir, writings and memoirs</w:t>
      </w:r>
    </w:p>
    <w:p>
      <w:r>
        <w:t>Important for the socialist, cadre-based and anti-fascist dimensions of Indonesian nationalism.</w:t>
      </w:r>
    </w:p>
    <w:p>
      <w:r>
        <w:rPr>
          <w:b/>
          <w:color w:val="1B3A5C"/>
        </w:rPr>
        <w:t>Studies of Sarekat Islam and the PKI</w:t>
      </w:r>
    </w:p>
    <w:p>
      <w:r>
        <w:t>Needed for the complex relationship between Islam, labour, communism and anti-colonial mobilisation.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Why does Professor Kumar reject a simple linear account of Indonesian nationalism?</w:t>
      </w:r>
    </w:p>
    <w:p>
      <w:pPr>
        <w:pStyle w:val="ListNumber"/>
      </w:pPr>
      <w:r>
        <w:t>How did the Dutch East Indies unintentionally create conditions for Indonesian unity?</w:t>
      </w:r>
    </w:p>
    <w:p>
      <w:pPr>
        <w:pStyle w:val="ListNumber"/>
      </w:pPr>
      <w:r>
        <w:t>Why was Dutch-language education important despite reaching only a tiny minority?</w:t>
      </w:r>
    </w:p>
    <w:p>
      <w:pPr>
        <w:pStyle w:val="ListNumber"/>
      </w:pPr>
      <w:r>
        <w:t>How did religion both support and complicate nationalism?</w:t>
      </w:r>
    </w:p>
    <w:p>
      <w:pPr>
        <w:pStyle w:val="ListNumber"/>
      </w:pPr>
      <w:r>
        <w:t>Why did Sarekat Islam contain such varied political aspirations?</w:t>
      </w:r>
    </w:p>
    <w:p>
      <w:pPr>
        <w:pStyle w:val="ListNumber"/>
      </w:pPr>
      <w:r>
        <w:t>What made the Sumpah Pemuda such an important symbolic moment?</w:t>
      </w:r>
    </w:p>
    <w:p>
      <w:pPr>
        <w:pStyle w:val="ListNumber"/>
      </w:pPr>
      <w:r>
        <w:t>Why did the 1930s become a period of repression and exile rather than open nationalist advance?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AK-L14: The Ethical Policy and the Limits of Colonial Reform - for the reform background that produced educated elites and political expectations.</w:t>
      </w:r>
    </w:p>
    <w:p>
      <w:pPr>
        <w:pStyle w:val="ListBullet"/>
      </w:pPr>
      <w:r>
        <w:t>AK-L16: Japanese Occupation, Revolution and Independence, 1942-1949 - for the wartime and revolutionary outcome of nationalist mobilisation.</w:t>
      </w:r>
    </w:p>
    <w:p>
      <w:pPr>
        <w:pStyle w:val="ListBullet"/>
      </w:pPr>
      <w:r>
        <w:t>AK-L02: Islam as a Historical Force - for the religious background to Sarekat Islam and Muslim political mobilisation.</w:t>
      </w:r>
    </w:p>
    <w:p>
      <w:pPr>
        <w:pStyle w:val="ListBullet"/>
      </w:pPr>
      <w:r>
        <w:t>Glossary terms: Budi Utomo, Sarekat Islam, PKI, PNI, Sumpah Pemuda, Volksraad, priyayi.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AK-L15 - The Rise of Indonesian Nationalism, 1900-1942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AK-L15: The Rise of Indonesian Nationalism, 1900-1942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