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C5943A"/>
          <w:sz w:val="18"/>
        </w:rPr>
        <w:t>Professor Ann Kumar Southeast Asian Civilisation Archive</w:t>
      </w:r>
    </w:p>
    <w:p>
      <w:pPr>
        <w:pStyle w:val="Title"/>
        <w:jc w:val="center"/>
      </w:pPr>
      <w:r>
        <w:t>AK-L15: The Rise of Indonesian Nationalism, 1900-1942</w:t>
      </w:r>
    </w:p>
    <w:p>
      <w:pPr>
        <w:jc w:val="center"/>
      </w:pPr>
      <w:r>
        <w:rPr>
          <w:b/>
          <w:color w:val="1B3A5C"/>
          <w:sz w:val="26"/>
        </w:rPr>
        <w:t>Clean Transcript</w:t>
      </w:r>
    </w:p>
    <w:p>
      <w:pPr>
        <w:jc w:val="center"/>
        <w:pBdr>
          <w:bottom w:val="single" w:sz="8" w:space="6" w:color="C5943A"/>
        </w:pBdr>
      </w:pPr>
      <w:r>
        <w:rPr>
          <w:i/>
          <w:color w:val="4A5568"/>
        </w:rPr>
        <w:t>Edited teaching transcript reconstructed from Professor Kumar's Lecture III, Social Background to "Indonesian Nationalism".</w:t>
      </w:r>
    </w:p>
    <w:p>
      <w:pPr>
        <w:pStyle w:val="Heading1"/>
      </w:pPr>
      <w:r>
        <w:t>Editorial Note</w:t>
      </w:r>
    </w:p>
    <w:p>
      <w:r>
        <w:t>This clean transcript reconstructs the first part of Professor Kumar's Lecture III, "Social Background to Indonesian Nationalism", stopping at the Japanese occupation in 1942. It has been lightly edited for readability, with obvious OCR errors corrected and abbreviations expanded where the intended meaning is clear. The Japanese occupation and revolution material is reserved for the following package.</w:t>
      </w:r>
    </w:p>
    <w:p>
      <w:pPr>
        <w:pStyle w:val="Heading1"/>
      </w:pPr>
      <w:r>
        <w:t>1. Nationalism Was Not a Simple Straight Line</w:t>
      </w:r>
    </w:p>
    <w:p>
      <w:r>
        <w:t>The common picture of the development of Indonesian nationalism presents a line running from Budi Utomo in 1908, through Sarekat Islam, the Communist Party and finally the PNI in 1927, the party that was to be most influential in the winning of Indonesian independence and after. Some writers classify nationalism in Southeast Asia into phases: a xenophobic phase marked by local risings, an intellectual phase represented by organisations such as Budi Utomo, and a later phase of political activists using modern weapons such as political organisation, boycotts, non-cooperation, campaigns and, in extreme cases, planned rebellion.</w:t>
      </w:r>
    </w:p>
    <w:p>
      <w:r>
        <w:t>Professor Kumar cautions that this is too neat. Although the movements followed one another chronologically, they did not simply develop one out of another in dialectical fashion. Nor did the earlier movements simply die out and become superseded by later ones. They often represented continuing currents of thought, power or social pressure that continued to shape Indonesian politics. The later tripartite division of power in Sukarno's Indonesia - Muslims, communists and the army - is one way of seeing these deeper currents at work.</w:t>
      </w:r>
    </w:p>
    <w:p>
      <w:r>
        <w:t>The word "party" is only partly appropriate. Many organisations were labels covering many different ideas, interests and aspirations, sometimes over many years and sometimes at the same moment. Imported political categories can impose a neatness and simplicity that the Indonesian situation did not have.</w:t>
      </w:r>
    </w:p>
    <w:tbl>
      <w:tblPr>
        <w:tblW w:type="auto" w:w="0"/>
        <w:tblLayout w:type="autofit"/>
        <w:tblLook w:firstColumn="1" w:firstRow="1" w:lastColumn="0" w:lastRow="0" w:noHBand="0" w:noVBand="1" w:val="04A0"/>
      </w:tblPr>
      <w:tblGrid>
        <w:gridCol w:w="9994"/>
      </w:tblGrid>
      <w:tr>
        <w:tc>
          <w:tcPr>
            <w:tcW w:type="dxa" w:w="9994"/>
            <w:shd w:fill="F8F2E7"/>
          </w:tcPr>
          <w:p>
            <w:r>
              <w:rPr>
                <w:rFonts w:ascii="Georgia" w:hAnsi="Georgia"/>
                <w:b/>
                <w:color w:val="1B3A5C"/>
              </w:rPr>
              <w:t>Key Point</w:t>
            </w:r>
          </w:p>
          <w:p>
            <w:pPr>
              <w:spacing w:after="0"/>
            </w:pPr>
            <w:r>
              <w:t>Professor Kumar treats nationalism as a social and political field: overlapping organisations, competing loyalties and changing labels, rather than a simple sequence of parties moving inevitably toward independence.</w:t>
            </w:r>
          </w:p>
        </w:tc>
      </w:tr>
    </w:tbl>
    <w:p/>
    <w:p>
      <w:pPr>
        <w:pStyle w:val="Heading1"/>
      </w:pPr>
      <w:r>
        <w:t>2. The Idea of Indonesia</w:t>
      </w:r>
    </w:p>
    <w:p>
      <w:r>
        <w:t>Even the phrase "Indonesian nationalism" requires care. Both words represented concepts that were accepted at first only by a small number of people. The word Indonesia was not widely used as a political term until the mid-1920s. Earlier, it was more likely to appear as an ethnic or geographical term, and could include a much wider area than later Indonesian nationalists had in mind.</w:t>
      </w:r>
    </w:p>
    <w:p>
      <w:r>
        <w:t>Before this political usage became common, politically active people joined organisations with different unifying principles: Budi Utomo with a broadly Javanese cultural tone; Sarekat Islam with an Islamic identity, though also linked at first to anti-Chinese economic feeling and later to other aspirations; and regional youth associations such as Jong Java, Jong Minahasa and Jong Celebes.</w:t>
      </w:r>
    </w:p>
    <w:p>
      <w:r>
        <w:t>How, then, did the idea of a common Indonesian unity catch on? Partly it was created by the Dutch presence. Not because of the radicalism of the Ethical Policy, as conservatives sometimes claimed, but because the Dutch East Indies itself became an administrative and economic reality. As the Dutch government introduced greater governmental and economic modernisation, there grew up a small class of Indonesians whose lives were tied more to the government and administration of the whole Indies than to the older concerns of their own local societies.</w:t>
      </w:r>
    </w:p>
    <w:p>
      <w:r>
        <w:t>Such people worked in administration, publishing, hotels and other modern occupations. Their training was often not very relevant to traditional society. It is significant that the word Indonesia was used by those furthest removed from traditional local societies: Indonesian students in Holland. In 1908 they founded an Indies Association, and in 1922 reconstituted it as the Perhimpunan Indonesia, or Indonesian Association.</w:t>
      </w:r>
    </w:p>
    <w:p>
      <w:r>
        <w:t>Dutch-language education helped mould those who received it into a common group. It gave them more in common with one another than they might otherwise have had. But the scale was very small. In 1937, with a population of roughly 68 million, only about 93,000 Indonesian children were receiving Dutch-language education, most of them in primary schools, and there were only a few hundred university students. This helps explain the smallness of the modern Indonesian elite.</w:t>
      </w:r>
    </w:p>
    <w:p>
      <w:pPr>
        <w:pStyle w:val="Heading1"/>
      </w:pPr>
      <w:r>
        <w:t>3. Competing Loyalties: Religion, Region and Race</w:t>
      </w:r>
    </w:p>
    <w:p>
      <w:r>
        <w:t>The existence of the idea of Indonesia did not mean that Indonesia immediately became the chief focus of people's loyalties. Sometimes religion, region, ethnic identity or social interest mattered more.</w:t>
      </w:r>
    </w:p>
    <w:p>
      <w:r>
        <w:t>Professor Kumar contrasts the Ambonese and the Toba Bataks. Ambonese Christianity, begun under the Portuguese and reshaped under the Dutch, contributed to a strong sense of separation from the rest of Indonesia. Many Ambonese served the Dutch as soldiers, and in 1950 some attempted to establish an independent Republic of the South Moluccas. The Toba Bataks, by contrast, converted to Christianity much later and largely through German missionaries, not Dutch colonial channels. They did not develop the same separatist stance and later played prominent roles in commerce and central government.</w:t>
      </w:r>
    </w:p>
    <w:p>
      <w:r>
        <w:t>Islam, the majority religion, also operated in varied ways. Sarekat Islam included many aspirations that were not narrowly religious: economic interests, anti-Chinese sentiment, Indonesian commercial aspiration and later Marxist currents. Party labels were often like the name on the front of a shop: inside, the management might change, or an entirely different line of goods might be offered.</w:t>
      </w:r>
    </w:p>
    <w:p>
      <w:pPr>
        <w:pStyle w:val="Heading1"/>
      </w:pPr>
      <w:r>
        <w:t>4. Race, Dutch Identity and the Late Colonial Social Order</w:t>
      </w:r>
    </w:p>
    <w:p>
      <w:r>
        <w:t>The social background of nationalism also involved the changing relationship between Dutch and Indonesian society. Earlier colonial society had often allowed degrees of cultural mixing, especially among locally rooted Europeans. But from the late nineteenth and early twentieth centuries the Dutch community increasingly emphasised separation, racial status and European identity.</w:t>
      </w:r>
    </w:p>
    <w:p>
      <w:r>
        <w:t>This partly reflected the growth of the Dutch population in the Indies, the expansion of government and business activities, easier travel between Europe and Asia through steamships and the Suez route, and the arrival of more Dutch women, who helped preserve European cultural norms. The trekkers - those who came out to work, periodically returned to Europe and retired in Holland - became a more important part of the Dutch community than the blijvers, those who made the Indies their home.</w:t>
      </w:r>
    </w:p>
    <w:p>
      <w:r>
        <w:t>Paradoxically, the Ethical Policy encouraged education and reform while late colonial society hardened racial and cultural boundaries. This made educated Indonesians more conscious of exclusion. They were introduced to Western political ideals, but encountered colonial practice that denied equality.</w:t>
      </w:r>
    </w:p>
    <w:p>
      <w:pPr>
        <w:pStyle w:val="Heading1"/>
      </w:pPr>
      <w:r>
        <w:t>5. Budi Utomo and Elite Cultural Awakening</w:t>
      </w:r>
    </w:p>
    <w:p>
      <w:r>
        <w:t>Budi Utomo, founded in 1908, is often presented as the beginning of Indonesian nationalism. Professor Kumar treats it more cautiously. It was an important modern organisation, but its outlook was strongly linked to the Javanese educated elite. Its interests were cultural, educational and aristocratic rather than mass-nationalist in a later sense.</w:t>
      </w:r>
    </w:p>
    <w:p>
      <w:r>
        <w:t>Budi Utomo shows the importance of the new educated class produced by late colonial reform. It also shows the limits of that class. Early political consciousness was not yet a fully national movement; it was shaped by Javanese elite culture, education and the possibilities made available within the colonial order.</w:t>
      </w:r>
    </w:p>
    <w:p>
      <w:pPr>
        <w:pStyle w:val="Heading1"/>
      </w:pPr>
      <w:r>
        <w:t>6. Sarekat Islam: Trade, Religion and Mass Mobilisation</w:t>
      </w:r>
    </w:p>
    <w:p>
      <w:r>
        <w:t>Sarekat Islam became far more broadly based. It drew on Islamic identity, commercial interest and popular mobilisation. At first it was connected with Indonesian traders and competition with Chinese commercial networks, but it became a mass organisation that could contain many different aspirations.</w:t>
      </w:r>
    </w:p>
    <w:p>
      <w:r>
        <w:t>Its broadness was also a source of instability. Within Sarekat Islam there were religious, nationalist and socialist or communist tendencies. In the early 1920s, conflict between the Muslim leadership and the communist wing led to a split. In 1921 the Muslim wing forced the communists out of Sarekat Islam. This episode illustrates Professor Kumar's point that the same label could cover very different currents of political life.</w:t>
      </w:r>
    </w:p>
    <w:p>
      <w:pPr>
        <w:pStyle w:val="Heading1"/>
      </w:pPr>
      <w:r>
        <w:t>7. Communism and the Revolts of 1926-27</w:t>
      </w:r>
    </w:p>
    <w:p>
      <w:r>
        <w:t>The Indonesian Communist Party drew on labour unrest, anti-colonial sentiment and international communist currents. In December 1926 a rather weak revolt broke out in parts of West Java and central Sumatra, led in many cases by local communist organisations. It was easily suppressed, but it made the Dutch government determined not to allow such a movement to re-emerge.</w:t>
      </w:r>
    </w:p>
    <w:p>
      <w:r>
        <w:t>The colonial authorities rounded up those they considered subversive, and about a thousand were exiled to Boven Digul. This finished the communists as an effective political force for a generation. Meanwhile, Sarekat Islam remained, but was increasingly concerned with the caliphate issue, by then largely a dead cause.</w:t>
      </w:r>
    </w:p>
    <w:p>
      <w:pPr>
        <w:pStyle w:val="Heading1"/>
      </w:pPr>
      <w:r>
        <w:t>8. The PNI, Sumpah Pemuda and the Language of Nationhood</w:t>
      </w:r>
    </w:p>
    <w:p>
      <w:r>
        <w:t>By the end of the 1920s, the two main internationalist orientations - international communism and pan-Islam - had both lost force. The vacuum was filled by a new movement, the first that can properly be called nationalist in Professor Kumar's sense: the PNI, founded in July 1927 and led by Sukarno.</w:t>
      </w:r>
    </w:p>
    <w:p>
      <w:r>
        <w:t>In October 1928 the famous congress of youth organisations produced the Sumpah Pemuda, the Youth Pledge: one nation, the Indonesian nation; one people, the Indonesian people; one language, the Indonesian language. The present flag and national anthem were also adopted in this period. From this time the idea of Indonesia gained wide currency. Sarekat Islam reformed itself as the Partai Sarekat Islam Indonesia, and Budi Utomo became part of the broader movement toward Partai Indonesia Raya.</w:t>
      </w:r>
    </w:p>
    <w:p>
      <w:r>
        <w:t>The national language was crucial. Indonesian was based on Malay, a minority language but one already widely used as a lingua franca. Compared with Javanese it was more democratic in structure, and it had long been used by the indigenous press. The choice of Malay-Indonesian avoided making Javanese cultural hierarchy the basis of the new nation.</w:t>
      </w:r>
    </w:p>
    <w:tbl>
      <w:tblPr>
        <w:tblW w:type="auto" w:w="0"/>
        <w:tblLayout w:type="autofit"/>
        <w:tblLook w:firstColumn="1" w:firstRow="1" w:lastColumn="0" w:lastRow="0" w:noHBand="0" w:noVBand="1" w:val="04A0"/>
      </w:tblPr>
      <w:tblGrid>
        <w:gridCol w:w="9994"/>
      </w:tblGrid>
      <w:tr>
        <w:tc>
          <w:tcPr>
            <w:tcW w:type="dxa" w:w="9994"/>
            <w:shd w:fill="F8F2E7"/>
          </w:tcPr>
          <w:p>
            <w:r>
              <w:rPr>
                <w:rFonts w:ascii="Georgia" w:hAnsi="Georgia"/>
                <w:b/>
                <w:color w:val="1B3A5C"/>
              </w:rPr>
              <w:t>Primary Text Fragment</w:t>
            </w:r>
          </w:p>
          <w:p>
            <w:pPr>
              <w:spacing w:after="0"/>
            </w:pPr>
            <w:r>
              <w:t>The Youth Pledge condensed the emerging national idea into three claims: one nation, one people and one language. In Professor Kumar's lecture, this is not the start of all political consciousness, but the moment when the language of Indonesia gained much wider currency.</w:t>
            </w:r>
          </w:p>
        </w:tc>
      </w:tr>
    </w:tbl>
    <w:p/>
    <w:p>
      <w:pPr>
        <w:pStyle w:val="Heading1"/>
      </w:pPr>
      <w:r>
        <w:t>9. The 1930s: Repression and Exile</w:t>
      </w:r>
    </w:p>
    <w:p>
      <w:r>
        <w:t>The 1930s were a period of severe repression in Indonesian political life. The Ethical Policy had effectively been abandoned. The Dutch even forbade the use of the word independence. Most Indonesian political groups cooperated to some extent by participating in the largely powerless Volksraad, though some refused to cooperate.</w:t>
      </w:r>
    </w:p>
    <w:p>
      <w:r>
        <w:t>The three most prominent nationalist leaders of this period were Sukarno, Hatta and Sjahrir. Sukarno concentrated on building a mass following; Hatta and Sjahrir were more concerned with organising small nationalist cadres. In 1933-34 all three were banished from Java: Sukarno to Bengkulu, and Hatta and Sjahrir to Boven Digul. They were released only when the Japanese occupied Indonesia. In the intervening period there was no effective open opposition to Dutch rule.</w:t>
      </w:r>
    </w:p>
    <w:p>
      <w:pPr>
        <w:pStyle w:val="Heading1"/>
      </w:pPr>
      <w:r>
        <w:t>10. Toward 1942</w:t>
      </w:r>
    </w:p>
    <w:p>
      <w:r>
        <w:t>By the beginning of 1942, the social and political background of Indonesian nationalism had been formed but not yet liberated. The Dutch East Indies had created a limited administrative unity; education had created a small modern elite; Islam, communism, regional youth organisations and secular nationalism had all contributed to political mobilisation; and the language of Indonesia had emerged as a powerful symbol of unity. Yet Dutch repression had largely paralysed open nationalist activity before the Japanese invasion transformed the political situation.</w:t>
      </w:r>
    </w:p>
    <w:tbl>
      <w:tblPr>
        <w:tblW w:type="auto" w:w="0"/>
        <w:tblLayout w:type="autofit"/>
        <w:tblLook w:firstColumn="1" w:firstRow="1" w:lastColumn="0" w:lastRow="0" w:noHBand="0" w:noVBand="1" w:val="04A0"/>
      </w:tblPr>
      <w:tblGrid>
        <w:gridCol w:w="9994"/>
      </w:tblGrid>
      <w:tr>
        <w:tc>
          <w:tcPr>
            <w:tcW w:type="dxa" w:w="9994"/>
            <w:shd w:fill="F8F2E7"/>
          </w:tcPr>
          <w:p>
            <w:r>
              <w:rPr>
                <w:rFonts w:ascii="Georgia" w:hAnsi="Georgia"/>
                <w:b/>
                <w:color w:val="1B3A5C"/>
              </w:rPr>
              <w:t>Transition to Next Package</w:t>
            </w:r>
          </w:p>
          <w:p>
            <w:pPr>
              <w:spacing w:after="0"/>
            </w:pPr>
            <w:r>
              <w:t>The Japanese occupation and the revolution are treated separately in AK-L16. The occupation gave Sukarno, Hatta and other nationalist leaders access to mass propaganda and military training opportunities that Dutch rule had denied them.</w:t>
            </w:r>
          </w:p>
        </w:tc>
      </w:tr>
    </w:tbl>
    <w:p/>
    <w:sectPr w:rsidR="00FC693F" w:rsidRPr="0006063C" w:rsidSect="00034616">
      <w:headerReference w:type="default" r:id="rId9"/>
      <w:footerReference w:type="default" r:id="rId10"/>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4A5568"/>
        <w:sz w:val="16"/>
      </w:rPr>
      <w:t>AK-L15 - The Rise of Indonesian Nationalism, 1900-1942</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color w:val="4A5568"/>
        <w:sz w:val="16"/>
      </w:rPr>
      <w:t>Professor Ann Kumar Southeast Asian Civilisation Archive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40"/>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1B3A5C"/>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1B3A5C"/>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1B3A5C"/>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Georgia" w:hAnsi="Georgia" w:eastAsia="Georgia"/>
      <w:color w:val="1B3A5C"/>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AK-L15: The Rise of Indonesian Nationalism, 1900-1942</dc:title>
  <dc:subject/>
  <dc:creator>Kevin Parker / Prof. Ann Kumar Archive Project</dc:creator>
  <cp:keywords/>
  <dc:description>generated by python-docx</dc:description>
  <cp:lastModifiedBy/>
  <cp:revision>1</cp:revision>
  <dcterms:created xsi:type="dcterms:W3CDTF">2013-12-23T23:15:00Z</dcterms:created>
  <dcterms:modified xsi:type="dcterms:W3CDTF">2013-12-23T23:15:00Z</dcterms:modified>
  <cp:category/>
</cp:coreProperties>
</file>