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AK-L14: The Ethical Policy and the Limits of Colonial Reform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Ethical Policy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C. Th. van Deventer, "Een eereschuld" / "A Debt of Honour"</w:t>
      </w:r>
    </w:p>
    <w:p>
      <w:r>
        <w:t>A foundational statement of the moral argument that the Netherlands owed a debt to the Indies.</w:t>
      </w:r>
    </w:p>
    <w:p>
      <w:r>
        <w:rPr>
          <w:b/>
          <w:color w:val="1B3A5C"/>
        </w:rPr>
        <w:t>P. Brooshooft, "The Ethical Trend in Colonial Policy"</w:t>
      </w:r>
    </w:p>
    <w:p>
      <w:r>
        <w:t>Important for the term Ethical Policy and for the moral critique of planter power and colonial inequality.</w:t>
      </w:r>
    </w:p>
    <w:p>
      <w:r>
        <w:rPr>
          <w:b/>
          <w:color w:val="1B3A5C"/>
        </w:rPr>
        <w:t>Harry J. Benda, The Crescent and the Rising Sun</w:t>
      </w:r>
    </w:p>
    <w:p>
      <w:r>
        <w:t>Useful for Snouck Hurgronje, Islam, education and the political consequences of late colonial reform.</w:t>
      </w:r>
    </w:p>
    <w:p>
      <w:r>
        <w:rPr>
          <w:b/>
          <w:color w:val="1B3A5C"/>
        </w:rPr>
        <w:t>J. D. Legge, Indonesia</w:t>
      </w:r>
    </w:p>
    <w:p>
      <w:r>
        <w:t>Provides compact context for education, the Volksraad, welfare policy and the emergence of nationalism.</w:t>
      </w:r>
    </w:p>
    <w:p>
      <w:r>
        <w:rPr>
          <w:b/>
          <w:color w:val="1B3A5C"/>
        </w:rPr>
        <w:t>Robert van Niel, The Emergence of the Modern Indonesian Elite</w:t>
      </w:r>
    </w:p>
    <w:p>
      <w:r>
        <w:t>Essential for understanding how education and administrative change formed a modern Indonesian elite.</w:t>
      </w:r>
    </w:p>
    <w:p>
      <w:r>
        <w:rPr>
          <w:b/>
          <w:color w:val="1B3A5C"/>
        </w:rPr>
        <w:t>J. S. Furnivall, Netherlands India: A Study of Plural Economy</w:t>
      </w:r>
    </w:p>
    <w:p>
      <w:r>
        <w:t>Important for colonial economy, plural society and the limits of welfare reform.</w:t>
      </w:r>
    </w:p>
    <w:p>
      <w:r>
        <w:rPr>
          <w:b/>
          <w:color w:val="1B3A5C"/>
        </w:rPr>
        <w:t>C. Snouck Hurgronje, works on Islam and Dutch colonial policy</w:t>
      </w:r>
    </w:p>
    <w:p>
      <w:r>
        <w:t>Important but requiring critical reading as both scholarship and colonial advisory literature.</w:t>
      </w:r>
    </w:p>
    <w:p>
      <w:r>
        <w:rPr>
          <w:b/>
          <w:color w:val="1B3A5C"/>
        </w:rPr>
        <w:t>Cornelis van Vollenhoven and the Leiden Adat Law School</w:t>
      </w:r>
    </w:p>
    <w:p>
      <w:r>
        <w:t>Relevant to later Dutch support for adat law and conservative native authority.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Why did Dutch reformers believe the Netherlands owed a moral debt to the Indies?</w:t>
      </w:r>
    </w:p>
    <w:p>
      <w:pPr>
        <w:pStyle w:val="ListNumber"/>
      </w:pPr>
      <w:r>
        <w:t>How did the Ethical Policy combine benevolence with continued colonial control?</w:t>
      </w:r>
    </w:p>
    <w:p>
      <w:pPr>
        <w:pStyle w:val="ListNumber"/>
      </w:pPr>
      <w:r>
        <w:t>Why did village councils and the Volksraad provide form without substance?</w:t>
      </w:r>
    </w:p>
    <w:p>
      <w:pPr>
        <w:pStyle w:val="ListNumber"/>
      </w:pPr>
      <w:r>
        <w:t>How did education create expectations that Dutch colonialism could not satisfy?</w:t>
      </w:r>
    </w:p>
    <w:p>
      <w:pPr>
        <w:pStyle w:val="ListNumber"/>
      </w:pPr>
      <w:r>
        <w:t>Why did the Ethical Policy fail to produce the gratitude some reformers expected?</w:t>
      </w:r>
    </w:p>
    <w:p>
      <w:pPr>
        <w:pStyle w:val="ListNumber"/>
      </w:pPr>
      <w:r>
        <w:t>What does Benda's phrase "too little, too late" reveal about late colonial reform?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AK-L13: The Liberal Period and the Rise of Plantation Capitalism - for the economic order that preceded the Ethical Policy.</w:t>
      </w:r>
    </w:p>
    <w:p>
      <w:pPr>
        <w:pStyle w:val="ListBullet"/>
      </w:pPr>
      <w:r>
        <w:t>AK-L15: The Rise of Indonesian Nationalism, 1900-1942 - for the political movements that grew from late colonial contradictions.</w:t>
      </w:r>
    </w:p>
    <w:p>
      <w:pPr>
        <w:pStyle w:val="ListBullet"/>
      </w:pPr>
      <w:r>
        <w:t>AK-L02: Islam as a Historical Force - for Snouck Hurgronje's Islamic-policy context.</w:t>
      </w:r>
    </w:p>
    <w:p>
      <w:pPr>
        <w:pStyle w:val="ListBullet"/>
      </w:pPr>
      <w:r>
        <w:t>Glossary terms: Volksraad, Ethical Policy, Budi Utomo, adat, priyayi, Regent.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AK-L14 - The Ethical Policy and the Limits of Colonial Reform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AK-L14: The Ethical Policy and the Limits of Colonial Reform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