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C5943A"/>
          <w:sz w:val="18"/>
        </w:rPr>
        <w:t>Professor Ann Kumar Southeast Asian Civilisation Archive</w:t>
      </w:r>
    </w:p>
    <w:p>
      <w:pPr>
        <w:pStyle w:val="Title"/>
        <w:jc w:val="center"/>
      </w:pPr>
      <w:r>
        <w:t>AK-L14: The Ethical Policy and the Limits of Colonial Reform</w:t>
      </w:r>
    </w:p>
    <w:p>
      <w:pPr>
        <w:jc w:val="center"/>
      </w:pPr>
      <w:r>
        <w:rPr>
          <w:b/>
          <w:color w:val="1B3A5C"/>
          <w:sz w:val="26"/>
        </w:rPr>
        <w:t>Clean Transcript</w:t>
      </w:r>
    </w:p>
    <w:p>
      <w:pPr>
        <w:jc w:val="center"/>
        <w:pBdr>
          <w:bottom w:val="single" w:sz="8" w:space="6" w:color="C5943A"/>
        </w:pBdr>
      </w:pPr>
      <w:r>
        <w:rPr>
          <w:i/>
          <w:color w:val="4A5568"/>
        </w:rPr>
        <w:t>Edited teaching transcript reconstructed from Professor Kumar's lecture notes.</w:t>
      </w:r>
    </w:p>
    <w:p>
      <w:pPr>
        <w:pStyle w:val="Heading1"/>
      </w:pPr>
      <w:r>
        <w:t>Editorial Note</w:t>
      </w:r>
    </w:p>
    <w:p>
      <w:r>
        <w:t>This clean transcript reconstructs the Ethical Policy section of Professor Kumar's lecture on the transition from the Liberal Period to late colonial reform. It has been lightly edited for readability, with obvious OCR errors corrected and older abbreviations expanded where the intended meaning is clear. It should still be checked against the original scan before final scholarly publication.</w:t>
      </w:r>
    </w:p>
    <w:p>
      <w:pPr>
        <w:pStyle w:val="Heading1"/>
      </w:pPr>
      <w:r>
        <w:t>1. The Ethical Policy as a New Colonial Rethinking</w:t>
      </w:r>
    </w:p>
    <w:p>
      <w:r>
        <w:t>The next major rethinking in Dutch colonial policy was the so-called Ethical Policy. Like the Liberal Period, it began with influential writing. The first was C. Th. van Deventer's article "A Debt of Honour", published in 1899. Van Deventer argued that the Netherlands had taken large sums from the East Indies and that this constituted a debt of honour owed to the colony.</w:t>
      </w:r>
    </w:p>
    <w:p>
      <w:r>
        <w:t>The second publication was P. Brooshooft's brochure "The Ethical Trend in Colonial Policy", published in 1901. From this phrase the movement took its name. Brooshooft argued that, in the name of free enterprise, European planters had seized the best land and worked it for their own profit; impoverished natives were driven to factories to work for very low wages; and inequality existed throughout administration, law and colonial society.</w:t>
      </w:r>
    </w:p>
    <w:tbl>
      <w:tblPr>
        <w:tblW w:type="auto" w:w="0"/>
        <w:tblLayout w:type="autofit"/>
        <w:tblLook w:firstColumn="1" w:firstRow="1" w:lastColumn="0" w:lastRow="0" w:noHBand="0" w:noVBand="1" w:val="04A0"/>
      </w:tblPr>
      <w:tblGrid>
        <w:gridCol w:w="9994"/>
      </w:tblGrid>
      <w:tr>
        <w:tc>
          <w:tcPr>
            <w:tcW w:type="dxa" w:w="9994"/>
            <w:shd w:fill="F8F2E7"/>
          </w:tcPr>
          <w:p>
            <w:r>
              <w:rPr>
                <w:rFonts w:ascii="Georgia" w:hAnsi="Georgia"/>
                <w:b/>
                <w:color w:val="1B3A5C"/>
              </w:rPr>
              <w:t>Key Point</w:t>
            </w:r>
          </w:p>
          <w:p>
            <w:pPr>
              <w:spacing w:after="0"/>
            </w:pPr>
            <w:r>
              <w:t>The Ethical Policy did not reject colonial rule. It tried to make colonial rule morally defensible by linking Dutch authority to welfare, education, decentralisation and limited participation.</w:t>
            </w:r>
          </w:p>
        </w:tc>
      </w:tr>
    </w:tbl>
    <w:p/>
    <w:p>
      <w:pPr>
        <w:pStyle w:val="Heading1"/>
      </w:pPr>
      <w:r>
        <w:t>2. Crisis, Welfare and Reform</w:t>
      </w:r>
    </w:p>
    <w:p>
      <w:r>
        <w:t>These moral arguments were reinforced by an economic crisis in Indonesia at the turn of the twentieth century. The Dutch government appointed a commission to investigate the diminishing welfare of the people of Java. The commission reported that one major cause of hardship was that population had grown faster than agricultural resources and capital. It recommended measures such as the establishment of native industry to supplement income from agriculture.</w:t>
      </w:r>
    </w:p>
    <w:p>
      <w:r>
        <w:t>The Dutch government did not admit that it was required to repay the money previously drawn from Indonesia. It did, however, take over the colony's debt. This was a practical acknowledgement that reform could not proceed while the colony remained financially burdened.</w:t>
      </w:r>
    </w:p>
    <w:p>
      <w:pPr>
        <w:pStyle w:val="Heading1"/>
      </w:pPr>
      <w:r>
        <w:t>3. What Did Ethical Reformers Want?</w:t>
      </w:r>
    </w:p>
    <w:p>
      <w:r>
        <w:t>The aims of the Ethical Policy were never entirely unified. Some reformers spoke of creating a new "Dutch-Indian society" that would be neither simply Javanese nor Dutch, but would in some way blend the two. It was not clear whether this society was to be achieved by assimilating Indonesians to Western civilisation, or by allowing diverse cultural traditions to coexist within a single political entity. Both ideas had supporters.</w:t>
      </w:r>
    </w:p>
    <w:p>
      <w:r>
        <w:t>On the political and administrative side, Ethical Policy advocates supported decentralisation. During the Liberal Period, the penetration of Western economy and institutions had weakened the village. Reformers therefore wanted to strengthen the village again, often imagining it as a training ground for parliamentary procedure and civic responsibility.</w:t>
      </w:r>
    </w:p>
    <w:p>
      <w:pPr>
        <w:pStyle w:val="Heading1"/>
      </w:pPr>
      <w:r>
        <w:t>4. Village, Councils and the Volksraad</w:t>
      </w:r>
    </w:p>
    <w:p>
      <w:r>
        <w:t>The Village Act of 1906 aimed to convert the Indonesian village into something like a Western municipality, with a Village Council empowered to administer local affairs, including property and land. In practice, however, the democratic promise of this reform was limited. The formal procedures might be followed, but many resolutions originated in suggestions made by Dutch officials.</w:t>
      </w:r>
    </w:p>
    <w:p>
      <w:r>
        <w:t>Reform did not stop at village level. Councils were established at higher levels. Over the village councils stood provincial and regency councils, and at the apex stood the Volksraad, or People's Council, established in 1918. These institutions introduced the forms of representative government, but their substance was constrained by Dutch colonial control.</w:t>
      </w:r>
    </w:p>
    <w:p>
      <w:r>
        <w:t>This more broadly based administrative system further weakened the political influence of the Javanese Regents. Members of regency councils were often better educated and more adept at modern procedure than the Regents themselves, even though the hereditary principle still reserved the highest native administrative posts for aristocratic office-holders.</w:t>
      </w:r>
    </w:p>
    <w:p>
      <w:pPr>
        <w:pStyle w:val="Heading1"/>
      </w:pPr>
      <w:r>
        <w:t>5. Welfare Administration and the Bypassing of Regents</w:t>
      </w:r>
    </w:p>
    <w:p>
      <w:r>
        <w:t>Under the new programme of native welfare, there was major growth in specialised branches of the government service. These included irrigation, rural credit banks, clinics, agricultural extension programmes, village schools and other practical initiatives. The Dutch gained a reputation for administrative efficiency in these areas.</w:t>
      </w:r>
    </w:p>
    <w:p>
      <w:r>
        <w:t>Yet the very efficiency of specialised welfare administration often bypassed the Regents. Officials responsible for irrigation, credit, health or schools wanted to get things done and therefore dealt directly with their own technical programmes rather than through older aristocratic channels. This further reduced the real importance of traditional native elites in government.</w:t>
      </w:r>
    </w:p>
    <w:p>
      <w:pPr>
        <w:pStyle w:val="Heading1"/>
      </w:pPr>
      <w:r>
        <w:t>6. Education, Islam and Snouck Hurgronje</w:t>
      </w:r>
    </w:p>
    <w:p>
      <w:r>
        <w:t>On the cultural side, many Ethical Policy reformers, especially Snouck Hurgronje, believed that neither Islam nor traditional law and custom, adat, could provide an adequate guide for Indonesians in the modern world. Western education therefore seemed essential.</w:t>
      </w:r>
    </w:p>
    <w:p>
      <w:r>
        <w:t>Snouck argued that education was only the first step. It would have to be followed by the political and administrative education of the Indonesian elite. He foresaw the eventual decline of colonialism more clearly than many of his contemporaries and pressed for higher education, association with Dutch culture and the Indonesianisation of colonial administration. Yet in practice, his specific recommendations concerning Islam were implemented more fully than his wider political vision.</w:t>
      </w:r>
    </w:p>
    <w:p>
      <w:r>
        <w:t>The Dutch did make some progress in education, but the scale remained limited. At the beginning of the Second World War the literacy rate was still only a small proportion of the population.</w:t>
      </w:r>
    </w:p>
    <w:p>
      <w:pPr>
        <w:pStyle w:val="Heading1"/>
      </w:pPr>
      <w:r>
        <w:t>7. Native Welfare and the Limits of Reform</w:t>
      </w:r>
    </w:p>
    <w:p>
      <w:r>
        <w:t>The Ethical Policy was weakened from the beginning by the expectation that vested interests would willingly sacrifice their advantages for native welfare. Reformers such as Snouck Hurgronje might be genuinely benevolent, but they underestimated the power of European private enterprise and the colonial economy.</w:t>
      </w:r>
    </w:p>
    <w:p>
      <w:r>
        <w:t>The economic measures taken during the Ethical Policy were often palliatives: rural credit banks, local relief measures, welfare institutions and administrative improvements. They did not amount to fundamental economic transformation. The plantation economy and the wider effects of Dutch capital continued to produce social disruption, city slums, labour migration and pressure on village society.</w:t>
      </w:r>
    </w:p>
    <w:p>
      <w:r>
        <w:t>Dr Boeke concluded from inquiries made in 1904 and 1906 that the peasant was rather worse off than before the first Ethical reforms, despite the benevolent activity undertaken on his behalf.</w:t>
      </w:r>
    </w:p>
    <w:p>
      <w:pPr>
        <w:pStyle w:val="Heading1"/>
      </w:pPr>
      <w:r>
        <w:t>8. Gratitude, Contradiction and Nationalism</w:t>
      </w:r>
    </w:p>
    <w:p>
      <w:r>
        <w:t>Van Deventer once described the goal as the formation in the Far East of a social entity indebted to the Netherlands for its prosperity and higher culture, and gratefully recognising that debt. Professor Kumar notes the irony. Prosperity had not truly accompanied the spread of Dutch civilisation, and Indonesians did not feel the gratitude reformers expected.</w:t>
      </w:r>
    </w:p>
    <w:p>
      <w:r>
        <w:t>There was also a contradiction between Western education and colonial practice. Educated Indonesians learned ideas of democracy, representation and modern citizenship, but the middle and senior ranks of administration remained largely closed to them. The first Indonesian response to the Ethical Policy spirit was Budi Utomo in 1908, which seemed at first to confirm reformist hopes. But it was followed by political organisations that demanded complete independence.</w:t>
      </w:r>
    </w:p>
    <w:p>
      <w:pPr>
        <w:pStyle w:val="Heading1"/>
      </w:pPr>
      <w:r>
        <w:t>9. Too Little, Too Late</w:t>
      </w:r>
    </w:p>
    <w:p>
      <w:r>
        <w:t>The Communist revolts of 1926-27 in West Java and Sumatra dealt a severe blow to the Ethical Policy. Conservative elements in the colonial elite argued that reformers had disrupted traditional Indonesian society by modernising too quickly. Harry Benda's judgment, as summarised in the lecture, was different: the real cause lay not in too much reform, but in the disruptive effects of Western economic and social forces from the Liberal Period onward. The better verdict was not "too much, too soon", but "too little, too late".</w:t>
      </w:r>
    </w:p>
    <w:p>
      <w:r>
        <w:t>The Ethical Policy was never formally abandoned. Its institutions remained, but their meaning changed. The Volksraad continued, but it was largely drawn from orthodox elite circles and was not a genuine instrument of national self-government. Form and substance diverged: modern representative procedure existed outwardly, while real power remained colonial.</w:t>
      </w:r>
    </w:p>
    <w:p>
      <w:pPr>
        <w:pStyle w:val="Heading1"/>
      </w:pPr>
      <w:r>
        <w:t>10. Return to Conservative Adat Policy</w:t>
      </w:r>
    </w:p>
    <w:p>
      <w:r>
        <w:t>In the later colonial period, the Dutch returned increasingly to support for Regents and priyayi in Java, and adat chiefs elsewhere. This conservative tendency was strengthened by the Leiden Adat Law School under Van Vollenhoven, whose scholarly respect for native law and custom had humane intentions, but could also reinforce colonial conservatism by treating adat authority as a stabilising alternative to modern nationalist politics.</w:t>
      </w:r>
    </w:p>
    <w:p>
      <w:pPr>
        <w:pStyle w:val="Heading1"/>
      </w:pPr>
      <w:r>
        <w:t>Conclusion</w:t>
      </w:r>
    </w:p>
    <w:p>
      <w:r>
        <w:t>The Ethical Policy is therefore best understood as a contradictory reform movement. It widened education, welfare and administrative procedure, but did not alter the foundations of colonial power. It helped create the educated elite and political language that would nourish Indonesian nationalism, yet it failed to satisfy the aspirations that it helped awaken.</w:t>
      </w:r>
    </w:p>
    <w:sectPr w:rsidR="00FC693F" w:rsidRPr="0006063C" w:rsidSect="00034616">
      <w:headerReference w:type="default" r:id="rId9"/>
      <w:footerReference w:type="default" r:id="rId10"/>
      <w:pgSz w:w="12240" w:h="15840"/>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4A5568"/>
        <w:sz w:val="16"/>
      </w:rPr>
      <w:t>AK-L14 - The Ethical Policy and the Limits of Colonial Reform</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color w:val="4A5568"/>
        <w:sz w:val="16"/>
      </w:rPr>
      <w:t>Professor Ann Kumar Southeast Asian Civilisation Archive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76" w:lineRule="auto" w:after="140"/>
    </w:pPr>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eastAsia="Georgia"/>
      <w:b/>
      <w:bCs/>
      <w:color w:val="1B3A5C"/>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eastAsia="Georgia"/>
      <w:b/>
      <w:bCs/>
      <w:color w:val="1B3A5C"/>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eastAsia="Georgia"/>
      <w:b/>
      <w:bCs/>
      <w:color w:val="1B3A5C"/>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Georgia" w:hAnsi="Georgia" w:eastAsia="Georgia"/>
      <w:color w:val="1B3A5C"/>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AK-L14: The Ethical Policy and the Limits of Colonial Reform</dc:title>
  <dc:subject/>
  <dc:creator>Kevin Parker / Prof. Ann Kumar Archive Project</dc:creator>
  <cp:keywords/>
  <dc:description>generated by python-docx</dc:description>
  <cp:lastModifiedBy/>
  <cp:revision>1</cp:revision>
  <dcterms:created xsi:type="dcterms:W3CDTF">2013-12-23T23:15:00Z</dcterms:created>
  <dcterms:modified xsi:type="dcterms:W3CDTF">2013-12-23T23:15:00Z</dcterms:modified>
  <cp:category/>
</cp:coreProperties>
</file>