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Garamond" w:hAnsi="Garamond" w:eastAsia="Garamond"/>
          <w:b/>
          <w:color w:val="173B5F"/>
          <w:sz w:val="40"/>
        </w:rPr>
        <w:t>AK-L22: The Fall of the VOC</w:t>
      </w:r>
    </w:p>
    <w:p>
      <w:pPr>
        <w:jc w:val="center"/>
      </w:pPr>
      <w:r>
        <w:rPr>
          <w:rFonts w:ascii="Garamond" w:hAnsi="Garamond" w:eastAsia="Garamond"/>
          <w:i/>
          <w:color w:val="425466"/>
          <w:sz w:val="24"/>
        </w:rPr>
        <w:t>Web Publishing Notes</w:t>
      </w:r>
    </w:p>
    <w:p/>
    <w:tbl>
      <w:tblPr>
        <w:tblStyle w:val="TableGrid"/>
        <w:tblW w:type="auto" w:w="0"/>
        <w:tblLook w:firstColumn="1" w:firstRow="1" w:lastColumn="0" w:lastRow="0" w:noHBand="0" w:noVBand="1" w:val="04A0"/>
      </w:tblPr>
      <w:tblGrid>
        <w:gridCol w:w="4968"/>
        <w:gridCol w:w="4968"/>
      </w:tblGrid>
      <w:tr>
        <w:tc>
          <w:tcPr>
            <w:tcW w:type="dxa" w:w="4968"/>
            <w:shd w:fill="F5F0E6"/>
          </w:tcPr>
          <w:p>
            <w:r>
              <w:rPr>
                <w:b/>
                <w:color w:val="173B5F"/>
              </w:rPr>
              <w:t>Suggested URL slug</w:t>
            </w:r>
          </w:p>
        </w:tc>
        <w:tc>
          <w:tcPr>
            <w:tcW w:type="dxa" w:w="4968"/>
          </w:tcPr>
          <w:p>
            <w:r>
              <w:t>/the-fall-of-the-voc-financial-collapse-and-dissolution-1799/</w:t>
            </w:r>
          </w:p>
        </w:tc>
      </w:tr>
      <w:tr>
        <w:tc>
          <w:tcPr>
            <w:tcW w:type="dxa" w:w="4968"/>
            <w:shd w:fill="F5F0E6"/>
          </w:tcPr>
          <w:p>
            <w:r>
              <w:rPr>
                <w:b/>
                <w:color w:val="173B5F"/>
              </w:rPr>
              <w:t>Archive label</w:t>
            </w:r>
          </w:p>
        </w:tc>
        <w:tc>
          <w:tcPr>
            <w:tcW w:type="dxa" w:w="4968"/>
          </w:tcPr>
          <w:p>
            <w:r>
              <w:t>AK-L22</w:t>
            </w:r>
          </w:p>
        </w:tc>
      </w:tr>
      <w:tr>
        <w:tc>
          <w:tcPr>
            <w:tcW w:type="dxa" w:w="4968"/>
            <w:shd w:fill="F5F0E6"/>
          </w:tcPr>
          <w:p>
            <w:r>
              <w:rPr>
                <w:b/>
                <w:color w:val="173B5F"/>
              </w:rPr>
              <w:t>Resource type</w:t>
            </w:r>
          </w:p>
        </w:tc>
        <w:tc>
          <w:tcPr>
            <w:tcW w:type="dxa" w:w="4968"/>
          </w:tcPr>
          <w:p>
            <w:r>
              <w:t>Breakout/enrichment package</w:t>
            </w:r>
          </w:p>
        </w:tc>
      </w:tr>
      <w:tr>
        <w:tc>
          <w:tcPr>
            <w:tcW w:type="dxa" w:w="4968"/>
            <w:shd w:fill="F5F0E6"/>
          </w:tcPr>
          <w:p>
            <w:r>
              <w:rPr>
                <w:b/>
                <w:color w:val="173B5F"/>
              </w:rPr>
              <w:t>Resource order</w:t>
            </w:r>
          </w:p>
        </w:tc>
        <w:tc>
          <w:tcPr>
            <w:tcW w:type="dxa" w:w="4968"/>
          </w:tcPr>
          <w:p>
            <w:r>
              <w:t>Lecture Synopsis | Clean Transcript | Original Lecture Notes | Further Reading</w:t>
            </w:r>
          </w:p>
        </w:tc>
      </w:tr>
    </w:tbl>
    <w:p/>
    <w:p>
      <w:pPr>
        <w:pStyle w:val="Heading2"/>
      </w:pPr>
      <w:r>
        <w:t>SEO title</w:t>
      </w:r>
    </w:p>
    <w:p>
      <w:r>
        <w:t>The Fall of the VOC: Financial Collapse and Dissolution, 1799 | Professor Ann Kumar Archive</w:t>
      </w:r>
    </w:p>
    <w:p>
      <w:pPr>
        <w:pStyle w:val="Heading2"/>
      </w:pPr>
      <w:r>
        <w:t>Meta description</w:t>
      </w:r>
    </w:p>
    <w:p>
      <w:r>
        <w:t>A Professor Ann Kumar Archive resource on the VOC’s financial collapse, British pressure, the Batavian Republic and the dissolution of the Dutch East India Company in 1799.</w:t>
      </w:r>
    </w:p>
    <w:p>
      <w:pPr>
        <w:pStyle w:val="Heading2"/>
      </w:pPr>
      <w:r>
        <w:t>Suggested excerpt</w:t>
      </w:r>
    </w:p>
    <w:p>
      <w:r>
        <w:t>This resource explains how the VOC’s Java-centred empire reached its limits through debt, war, British pressure, European revolution and the final dissolution of Company rule in 1799.</w:t>
      </w:r>
    </w:p>
    <w:p>
      <w:pPr>
        <w:pStyle w:val="Heading2"/>
      </w:pPr>
      <w:r>
        <w:t>Suggested hero / infographic prompts</w:t>
      </w:r>
    </w:p>
    <w:p>
      <w:pPr>
        <w:pStyle w:val="ListBullet"/>
      </w:pPr>
      <w:r>
        <w:t>Infographic: “Why the VOC Fell.” Four converging pressures: loss-making posts and corruption, costly Java wars, British naval/commercial pressure, French Revolution/Batavian Republic. Centre: VOC monogram breaking into Dutch state rule.</w:t>
      </w:r>
    </w:p>
    <w:p>
      <w:pPr>
        <w:pStyle w:val="ListBullet"/>
      </w:pPr>
      <w:r>
        <w:t>Conceptual timeline: 1777 conquest of Balambangan -&gt; American War of Independence -&gt; Treaty of Paris 1784 -&gt; Batavian Republic 1795 -&gt; VOC dissolved 1799 -&gt; Daendels/Raffles/post-1800 reforms.</w:t>
      </w:r>
    </w:p>
    <w:p>
      <w:pPr>
        <w:pStyle w:val="ListBullet"/>
      </w:pPr>
      <w:r>
        <w:t>Diagram: “From Company to State.” Left: VOC trade web and forts. Middle: debt, war, monopoly failure. Right: Batavian Republic assumes possessions and debts, opening the nineteenth-century colonial state.</w:t>
      </w:r>
    </w:p>
    <w:p>
      <w:pPr>
        <w:pStyle w:val="Heading2"/>
      </w:pPr>
      <w:r>
        <w:t>Alt text suggestions</w:t>
      </w:r>
    </w:p>
    <w:p>
      <w:pPr>
        <w:pStyle w:val="ListBullet"/>
      </w:pPr>
      <w:r>
        <w:t>Infographic showing the fall of the Dutch East India Company through war, debt, British pressure and the Batavian Republic.</w:t>
      </w:r>
    </w:p>
    <w:p>
      <w:pPr>
        <w:pStyle w:val="ListBullet"/>
      </w:pPr>
      <w:r>
        <w:t>Timeline showing the transition from VOC Company rule to Dutch state colonial rule between the 1770s and 1799.</w:t>
      </w:r>
    </w:p>
    <w:p>
      <w:pPr>
        <w:pStyle w:val="Heading2"/>
      </w:pPr>
      <w:r>
        <w:t>Archives page row update</w:t>
      </w:r>
    </w:p>
    <w:p>
      <w:r>
        <w:t>Use this only if the enrichment page is added to the public resource index. Mark source as PDF 005 breakout/enrichment.</w:t>
      </w:r>
    </w:p>
    <w:p>
      <w:r>
        <w:t>&lt;tr&gt;</w:t>
        <w:br/>
        <w:t xml:space="preserve">  &lt;td&gt;&lt;a href="/the-fall-of-the-voc-financial-collapse-and-dissolution-1799/"&gt;The Fall of the VOC: Financial Collapse and Dissolution, 1799&lt;/a&gt;&lt;/td&gt;</w:t>
        <w:br/>
        <w:t xml:space="preserve">  &lt;td&gt;PDF 005 breakout/enrichment&lt;/td&gt;</w:t>
        <w:br/>
        <w:t xml:space="preserve">  &lt;td&gt;&lt;a href="PASTE-ORIGINAL-PDF-URL-HERE"&gt;PDF&lt;/a&gt;&lt;/td&gt;</w:t>
        <w:br/>
        <w:t xml:space="preserve">  &lt;td&gt;&lt;a href="PASTE-CLEAN-TRANSCRIPT-DOCX-URL-HERE"&gt;DOCX&lt;/a&gt;&lt;/td&gt;</w:t>
        <w:br/>
        <w:t xml:space="preserve">  &lt;td&gt;&lt;a href="PASTE-LECTURE-SYNOPSIS-DOCX-URL-HERE"&gt;DOCX&lt;/a&gt;&lt;/td&gt;</w:t>
        <w:br/>
        <w:t xml:space="preserve">  &lt;td&gt;&lt;a href="PASTE-FURTHER-READING-DOCX-URL-HERE"&gt;DOCX&lt;/a&gt;&lt;/td&gt;</w:t>
        <w:br/>
        <w:t>&lt;/tr&gt;</w:t>
      </w:r>
    </w:p>
    <w:p>
      <w:pPr>
        <w:pStyle w:val="Heading2"/>
      </w:pPr>
      <w:r>
        <w:t>Publication caution</w:t>
      </w:r>
    </w:p>
    <w:p>
      <w:pPr>
        <w:pStyle w:val="ListBullet"/>
      </w:pPr>
      <w:r>
        <w:t>Label this as an enrichment or breakout resource unless it becomes a formal lecture page.</w:t>
      </w:r>
    </w:p>
    <w:p>
      <w:pPr>
        <w:pStyle w:val="ListBullet"/>
      </w:pPr>
      <w:r>
        <w:t>Cross-link from Changes in the Nature of the VOC “Empire”, Java Under the VOC, The Dutch Strategy in the Seventeenth Century and From c. 1800 to the End of the Culture System.</w:t>
      </w:r>
    </w:p>
    <w:p>
      <w:pPr>
        <w:pStyle w:val="ListBullet"/>
      </w:pPr>
      <w:r>
        <w:t>Check dissolution date, treaty details and debt figures against the original scan before upload.</w:t>
      </w:r>
    </w:p>
    <w:sectPr w:rsidR="00FC693F" w:rsidRPr="0006063C" w:rsidSect="00034616">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69" w:lineRule="auto"/>
    </w:pPr>
    <w:rPr>
      <w:rFonts w:ascii="Garamond" w:hAnsi="Garamond" w:eastAsia="Garamond"/>
      <w:sz w:val="23"/>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Garamond" w:hAnsi="Garamond" w:eastAsia="Garamond"/>
      <w:b/>
      <w:bCs/>
      <w:color w:val="173B5F"/>
      <w:sz w:val="40"/>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Garamond" w:hAnsi="Garamond" w:eastAsia="Garamond"/>
      <w:b/>
      <w:bCs/>
      <w:color w:val="173B5F"/>
      <w:sz w:val="30"/>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Garamond" w:hAnsi="Garamond" w:eastAsia="Garamond"/>
      <w:b/>
      <w:bCs/>
      <w:color w:val="173B5F"/>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