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Garamond" w:hAnsi="Garamond" w:eastAsia="Garamond"/>
          <w:b/>
          <w:color w:val="173B5F"/>
          <w:sz w:val="40"/>
        </w:rPr>
        <w:t>AK-L22: The Fall of the VOC</w:t>
      </w:r>
    </w:p>
    <w:p>
      <w:pPr>
        <w:jc w:val="center"/>
      </w:pPr>
      <w:r>
        <w:rPr>
          <w:rFonts w:ascii="Garamond" w:hAnsi="Garamond" w:eastAsia="Garamond"/>
          <w:i/>
          <w:color w:val="425466"/>
          <w:sz w:val="24"/>
        </w:rPr>
        <w:t>Lecture Synopsis</w:t>
      </w:r>
    </w:p>
    <w:p/>
    <w:tbl>
      <w:tblPr>
        <w:tblStyle w:val="TableGrid"/>
        <w:tblW w:type="auto" w:w="0"/>
        <w:tblLook w:firstColumn="1" w:firstRow="1" w:lastColumn="0" w:lastRow="0" w:noHBand="0" w:noVBand="1" w:val="04A0"/>
      </w:tblPr>
      <w:tblGrid>
        <w:gridCol w:w="4968"/>
        <w:gridCol w:w="4968"/>
      </w:tblGrid>
      <w:tr>
        <w:tc>
          <w:tcPr>
            <w:tcW w:type="dxa" w:w="4968"/>
            <w:shd w:fill="F5F0E6"/>
          </w:tcPr>
          <w:p>
            <w:r>
              <w:rPr>
                <w:b/>
                <w:color w:val="173B5F"/>
              </w:rPr>
              <w:t>Resource type</w:t>
            </w:r>
          </w:p>
        </w:tc>
        <w:tc>
          <w:tcPr>
            <w:tcW w:type="dxa" w:w="4968"/>
          </w:tcPr>
          <w:p>
            <w:r>
              <w:t>Lecture Synopsis</w:t>
            </w:r>
          </w:p>
        </w:tc>
      </w:tr>
      <w:tr>
        <w:tc>
          <w:tcPr>
            <w:tcW w:type="dxa" w:w="4968"/>
            <w:shd w:fill="F5F0E6"/>
          </w:tcPr>
          <w:p>
            <w:r>
              <w:rPr>
                <w:b/>
                <w:color w:val="173B5F"/>
              </w:rPr>
              <w:t>Hub</w:t>
            </w:r>
          </w:p>
        </w:tc>
        <w:tc>
          <w:tcPr>
            <w:tcW w:type="dxa" w:w="4968"/>
          </w:tcPr>
          <w:p>
            <w:r>
              <w:t>The Colonial Engine</w:t>
            </w:r>
          </w:p>
        </w:tc>
      </w:tr>
      <w:tr>
        <w:tc>
          <w:tcPr>
            <w:tcW w:type="dxa" w:w="4968"/>
            <w:shd w:fill="F5F0E6"/>
          </w:tcPr>
          <w:p>
            <w:r>
              <w:rPr>
                <w:b/>
                <w:color w:val="173B5F"/>
              </w:rPr>
              <w:t>Status</w:t>
            </w:r>
          </w:p>
        </w:tc>
        <w:tc>
          <w:tcPr>
            <w:tcW w:type="dxa" w:w="4968"/>
          </w:tcPr>
          <w:p>
            <w:r>
              <w:t>Breakout/enrichment resource</w:t>
            </w:r>
          </w:p>
        </w:tc>
      </w:tr>
      <w:tr>
        <w:tc>
          <w:tcPr>
            <w:tcW w:type="dxa" w:w="4968"/>
            <w:shd w:fill="F5F0E6"/>
          </w:tcPr>
          <w:p>
            <w:r>
              <w:rPr>
                <w:b/>
                <w:color w:val="173B5F"/>
              </w:rPr>
              <w:t>Source</w:t>
            </w:r>
          </w:p>
        </w:tc>
        <w:tc>
          <w:tcPr>
            <w:tcW w:type="dxa" w:w="4968"/>
          </w:tcPr>
          <w:p>
            <w:r>
              <w:t>PDF 005, eighteenth-century VOC lecture</w:t>
            </w:r>
          </w:p>
        </w:tc>
      </w:tr>
    </w:tbl>
    <w:p/>
    <w:p>
      <w:pPr>
        <w:pStyle w:val="Heading2"/>
      </w:pPr>
      <w:r>
        <w:t>Overview</w:t>
      </w:r>
    </w:p>
    <w:p>
      <w:r>
        <w:t>This package examines the final phase of the VOC in Indonesia. By the late eighteenth century the Company had subdued or subordinated most rivals on Java, yet its financial, military and political position was collapsing. The dissolution of the VOC in 1799 marks the transition from Company rule to direct Dutch state responsibility for the East Indies.</w:t>
      </w:r>
    </w:p>
    <w:p>
      <w:pPr>
        <w:pStyle w:val="Heading2"/>
      </w:pPr>
      <w:r>
        <w:t>Core argument</w:t>
      </w:r>
    </w:p>
    <w:p>
      <w:r>
        <w:t>The VOC did not fall because it lacked territorial reach. It fell after decades of expensive warfare, loss-making trade posts, corruption, excessive borrowing, British commercial and naval pressure, and revolutionary political change in Europe. Its collapse reveals the limits of the chartered-company model of empire.</w:t>
      </w:r>
    </w:p>
    <w:p>
      <w:pPr>
        <w:pStyle w:val="Heading2"/>
      </w:pPr>
      <w:r>
        <w:t>Key points for students</w:t>
      </w:r>
    </w:p>
    <w:p>
      <w:pPr>
        <w:pStyle w:val="ListBullet"/>
      </w:pPr>
      <w:r>
        <w:t>The VOC reached its greatest territorial influence in Java just as its finances and institutions were weakening.</w:t>
      </w:r>
    </w:p>
    <w:p>
      <w:pPr>
        <w:pStyle w:val="ListBullet"/>
      </w:pPr>
      <w:r>
        <w:t>The conquest of the Oosthoek/Balambangan removed one of the last major anti-Dutch refuges on Java.</w:t>
      </w:r>
    </w:p>
    <w:p>
      <w:pPr>
        <w:pStyle w:val="ListBullet"/>
      </w:pPr>
      <w:r>
        <w:t>The Company’s financial weakness was hidden for some time by continued dividend payments supported by loans.</w:t>
      </w:r>
    </w:p>
    <w:p>
      <w:pPr>
        <w:pStyle w:val="ListBullet"/>
      </w:pPr>
      <w:r>
        <w:t>The American War of Independence and British pressure damaged VOC shipping, trade and monopoly rights.</w:t>
      </w:r>
    </w:p>
    <w:p>
      <w:pPr>
        <w:pStyle w:val="ListBullet"/>
      </w:pPr>
      <w:r>
        <w:t>The French Revolution and the Batavian Republic transformed the political context in the Netherlands.</w:t>
      </w:r>
    </w:p>
    <w:p>
      <w:pPr>
        <w:pStyle w:val="ListBullet"/>
      </w:pPr>
      <w:r>
        <w:t>The VOC was dissolved on 31 December 1799, with its possessions and debts taken over by the Dutch state.</w:t>
      </w:r>
    </w:p>
    <w:p>
      <w:pPr>
        <w:pStyle w:val="ListBullet"/>
      </w:pPr>
      <w:r>
        <w:t>The end of the VOC prepares the way for Daendels, Raffles, land-rent reform, the Java War and the Culture System.</w:t>
      </w:r>
    </w:p>
    <w:p>
      <w:pPr>
        <w:pStyle w:val="Heading2"/>
      </w:pPr>
      <w:r>
        <w:t>Why this package matters</w:t>
      </w:r>
    </w:p>
    <w:p>
      <w:r>
        <w:t>The fall of the VOC is a hinge point in the archive. It closes the early modern Company era and opens the nineteenth-century world of state colonial rule, administrative reform and intensified extraction. It also helps explain why later governors inherited both colonial practices and deep financial pressures from the Company.</w:t>
      </w:r>
    </w:p>
    <w:p>
      <w:pPr>
        <w:pStyle w:val="Heading2"/>
      </w:pPr>
      <w:r>
        <w:t>Suggested classroom questions</w:t>
      </w:r>
    </w:p>
    <w:p>
      <w:pPr>
        <w:pStyle w:val="ListBullet"/>
      </w:pPr>
      <w:r>
        <w:t>Was the VOC primarily destroyed by internal corruption, external politics or the structural limits of monopoly?</w:t>
      </w:r>
    </w:p>
    <w:p>
      <w:pPr>
        <w:pStyle w:val="ListBullet"/>
      </w:pPr>
      <w:r>
        <w:t>Why did the Company become more territorial just as its finances deteriorated?</w:t>
      </w:r>
    </w:p>
    <w:p>
      <w:pPr>
        <w:pStyle w:val="ListBullet"/>
      </w:pPr>
      <w:r>
        <w:t>How did European wars shape Indonesian colonial history?</w:t>
      </w:r>
    </w:p>
    <w:p>
      <w:pPr>
        <w:pStyle w:val="ListBullet"/>
      </w:pPr>
      <w:r>
        <w:t>What changed when the Dutch state took over from the VOC?</w:t>
      </w:r>
    </w:p>
    <w:p>
      <w:pPr>
        <w:pStyle w:val="ListBullet"/>
      </w:pPr>
      <w:r>
        <w:t>How does the VOC’s collapse alter our understanding of the Culture System that followed?</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69" w:lineRule="auto"/>
    </w:pPr>
    <w:rPr>
      <w:rFonts w:ascii="Garamond" w:hAnsi="Garamond" w:eastAsia="Garamond"/>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aramond" w:hAnsi="Garamond" w:eastAsia="Garamond"/>
      <w:b/>
      <w:bCs/>
      <w:color w:val="173B5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aramond" w:hAnsi="Garamond" w:eastAsia="Garamond"/>
      <w:b/>
      <w:bCs/>
      <w:color w:val="173B5F"/>
      <w:sz w:val="30"/>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aramond" w:hAnsi="Garamond" w:eastAsia="Garamond"/>
      <w:b/>
      <w:bCs/>
      <w:color w:val="173B5F"/>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