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AK-L22: The Fall of the VOC</w:t>
      </w:r>
    </w:p>
    <w:p>
      <w:pPr>
        <w:jc w:val="center"/>
      </w:pPr>
      <w:r>
        <w:rPr>
          <w:rFonts w:ascii="Garamond" w:hAnsi="Garamond" w:eastAsia="Garamond"/>
          <w:i/>
          <w:color w:val="425466"/>
          <w:sz w:val="24"/>
        </w:rPr>
        <w:t>Financial Collapse and Dissolution, 1799</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Archive</w:t>
            </w:r>
          </w:p>
        </w:tc>
        <w:tc>
          <w:tcPr>
            <w:tcW w:type="dxa" w:w="4968"/>
          </w:tcPr>
          <w:p>
            <w:r>
              <w:t>Professor Ann Kumar Southeast Asian Civilisation Archive</w:t>
            </w:r>
          </w:p>
        </w:tc>
      </w:tr>
      <w:tr>
        <w:tc>
          <w:tcPr>
            <w:tcW w:type="dxa" w:w="4968"/>
            <w:shd w:fill="F5F0E6"/>
          </w:tcPr>
          <w:p>
            <w:r>
              <w:rPr>
                <w:b/>
                <w:color w:val="173B5F"/>
              </w:rPr>
              <w:t>Lecture package</w:t>
            </w:r>
          </w:p>
        </w:tc>
        <w:tc>
          <w:tcPr>
            <w:tcW w:type="dxa" w:w="4968"/>
          </w:tcPr>
          <w:p>
            <w:r>
              <w:t>AK-L22</w:t>
            </w:r>
          </w:p>
        </w:tc>
      </w:tr>
      <w:tr>
        <w:tc>
          <w:tcPr>
            <w:tcW w:type="dxa" w:w="4968"/>
            <w:shd w:fill="F5F0E6"/>
          </w:tcPr>
          <w:p>
            <w:r>
              <w:rPr>
                <w:b/>
                <w:color w:val="173B5F"/>
              </w:rPr>
              <w:t>Source</w:t>
            </w:r>
          </w:p>
        </w:tc>
        <w:tc>
          <w:tcPr>
            <w:tcW w:type="dxa" w:w="4968"/>
          </w:tcPr>
          <w:p>
            <w:r>
              <w:t>Breakout/enrichment from PDF 005: Dutch and Indonesians in the 18th Century / Changes in the nature of the VOC "empire"</w:t>
            </w:r>
          </w:p>
        </w:tc>
      </w:tr>
      <w:tr>
        <w:tc>
          <w:tcPr>
            <w:tcW w:type="dxa" w:w="4968"/>
            <w:shd w:fill="F5F0E6"/>
          </w:tcPr>
          <w:p>
            <w:r>
              <w:rPr>
                <w:b/>
                <w:color w:val="173B5F"/>
              </w:rPr>
              <w:t>Prepared resource type</w:t>
            </w:r>
          </w:p>
        </w:tc>
        <w:tc>
          <w:tcPr>
            <w:tcW w:type="dxa" w:w="4968"/>
          </w:tcPr>
          <w:p>
            <w:r>
              <w:t>Clean Transcript</w:t>
            </w:r>
          </w:p>
        </w:tc>
      </w:tr>
      <w:tr>
        <w:tc>
          <w:tcPr>
            <w:tcW w:type="dxa" w:w="4968"/>
            <w:shd w:fill="F5F0E6"/>
          </w:tcPr>
          <w:p>
            <w:r>
              <w:rPr>
                <w:b/>
                <w:color w:val="173B5F"/>
              </w:rPr>
              <w:t>Status</w:t>
            </w:r>
          </w:p>
        </w:tc>
        <w:tc>
          <w:tcPr>
            <w:tcW w:type="dxa" w:w="4968"/>
          </w:tcPr>
          <w:p>
            <w:r>
              <w:t>Working clean copy - enrichment resource; final scholarly proofing recommended</w:t>
            </w:r>
          </w:p>
        </w:tc>
      </w:tr>
    </w:tbl>
    <w:p/>
    <w:tbl>
      <w:tblPr>
        <w:tblStyle w:val="TableGrid"/>
        <w:tblW w:type="auto" w:w="0"/>
        <w:tblLook w:firstColumn="1" w:firstRow="1" w:lastColumn="0" w:lastRow="0" w:noHBand="0" w:noVBand="1" w:val="04A0"/>
      </w:tblPr>
      <w:tblGrid>
        <w:gridCol w:w="9936"/>
      </w:tblGrid>
      <w:tr>
        <w:tc>
          <w:tcPr>
            <w:tcW w:type="dxa" w:w="9936"/>
            <w:shd w:fill="FFF4DD"/>
          </w:tcPr>
          <w:p>
            <w:r>
              <w:rPr>
                <w:b/>
                <w:color w:val="173B5F"/>
                <w:sz w:val="24"/>
              </w:rPr>
              <w:t>Archive note</w:t>
            </w:r>
          </w:p>
          <w:p>
            <w:r>
              <w:t>This item is presented as a breakout/enrichment package. It draws directly from the closing sections of Professor Kumar’s lecture on the changing nature of the VOC “empire” and prepares the transition to the post-1800 colonial lectures.</w:t>
            </w:r>
          </w:p>
        </w:tc>
      </w:tr>
    </w:tbl>
    <w:p/>
    <w:p>
      <w:pPr>
        <w:pStyle w:val="Heading2"/>
      </w:pPr>
      <w:r>
        <w:t>Context: the Company after conquest</w:t>
      </w:r>
    </w:p>
    <w:p>
      <w:r>
        <w:t>This breakout package follows the final arc of Professor Kumar's lecture on the changing nature of the VOC empire. By the late eighteenth century, the Company had extinguished or subordinated most rivals on Java, yet it was unable to convert this enlarged domain into long-term institutional stability.</w:t>
      </w:r>
    </w:p>
    <w:p>
      <w:r>
        <w:t>The VOC's campaigns in Java had brought the Moluccas, Makassar, Banten, Mataram, the north coast and finally the Oosthoek/Balambangan into varying degrees of Company control. The irony of the period is that the Company reached the peak of its territorial and political power just as its financial and institutional foundations were weakening.</w:t>
      </w:r>
    </w:p>
    <w:p>
      <w:pPr>
        <w:pStyle w:val="Heading2"/>
      </w:pPr>
      <w:r>
        <w:t>The conquest of Balambangan and the end of rivals on Java</w:t>
      </w:r>
    </w:p>
    <w:p>
      <w:r>
        <w:t>The last major Dutch campaign on Java was the conquest of the Oosthoek, centred on Balambangan. Professor Kumar notes that Balambangan was the last Hindu kingdom on Java and belonged more to the Balinese cultural sphere than to the Javanese one.</w:t>
      </w:r>
    </w:p>
    <w:p>
      <w:r>
        <w:t>The area became a refuge for anti-Dutch elements: descendants of Surapati, Chinese who had fled after the 1740 crisis, Buginese, Makassarese and Madurese. Its position therefore made it both a political frontier and a symbolic hold-out against the VOC's effort to extinguish rivals on Java.</w:t>
      </w:r>
    </w:p>
    <w:p>
      <w:r>
        <w:t>One striking cultural consequence of the conquest was that the Dutch enforced a change in the state religion from Hinduism to Islam, in order to break Balambangan's ties with Bali. This detail undercuts any simple contrast between 'secular' Dutch commercial policy and religiously neutral rule.</w:t>
      </w:r>
    </w:p>
    <w:p>
      <w:pPr>
        <w:pStyle w:val="Heading2"/>
      </w:pPr>
      <w:r>
        <w:t>Why the VOC failed</w:t>
      </w:r>
    </w:p>
    <w:p>
      <w:r>
        <w:t>Professor Kumar presents the VOC's dissolution as the result of both internal and external pressures. Internally, the Company suffered from loss-making posts, corruption among its servants, private trading, the high costs of war and an increasing dependence on loans to maintain dividends.</w:t>
      </w:r>
    </w:p>
    <w:p>
      <w:r>
        <w:t>Externally, European politics became decisive. Van Leur is cited for the importance of developments outside Indonesia: the American War of Independence, the rise of English naval and commercial power, and the French Revolution's repercussions in the Netherlands.</w:t>
      </w:r>
    </w:p>
    <w:p>
      <w:r>
        <w:t>The VOC had long been one of the pillars of Dutch prosperity. Yet by the late eighteenth century the apparent stability of dividends concealed serious structural weakness. Its far-flung trade empire had become financially unsustainable.</w:t>
      </w:r>
    </w:p>
    <w:p>
      <w:pPr>
        <w:pStyle w:val="Heading2"/>
      </w:pPr>
      <w:r>
        <w:t>The American War of Independence and British pressure</w:t>
      </w:r>
    </w:p>
    <w:p>
      <w:r>
        <w:t>The Dutch took the American side during the American War of Independence and consequently suffered English attacks in Southeast Asia. The English were able to take VOC possessions in India and much of Sumatra.</w:t>
      </w:r>
    </w:p>
    <w:p>
      <w:r>
        <w:t>By this period English shipping had become superior, and British naval power could prevent the VOC from moving Indonesian produce to European markets. The Treaty of Paris in 1784 compelled the Dutch to give the English the right to trade in their territories, breaking the VOC monopoly.</w:t>
      </w:r>
    </w:p>
    <w:p>
      <w:pPr>
        <w:pStyle w:val="Heading2"/>
      </w:pPr>
      <w:r>
        <w:t>The French Revolution and the Batavian Republic</w:t>
      </w:r>
    </w:p>
    <w:p>
      <w:r>
        <w:t>The French Revolution also reshaped the VOC's fate. In 1795 a republican government, the Batavian Republic, was established in the Netherlands under the protection of French revolutionary armies. William V fled to England.</w:t>
      </w:r>
    </w:p>
    <w:p>
      <w:r>
        <w:t>From London, William issued instructions to VOC governors not to obstruct British entry into Dutch possessions as part of the anti-French strategy. The British then took the Cape of Good Hope, Ceylon, Dutch posts in India, the west coast of Sumatra and Malacca, though they did not attempt to take Java at that time.</w:t>
      </w:r>
    </w:p>
    <w:p>
      <w:r>
        <w:t>The Batavian Republic regarded the VOC as a pillar of the old regime and decided to take over its territorial possessions. On 31 December 1799 the Company was dissolved and the Dutch state assumed both its possessions and its debts.</w:t>
      </w:r>
    </w:p>
    <w:p>
      <w:pPr>
        <w:pStyle w:val="Heading2"/>
      </w:pPr>
      <w:r>
        <w:t>The Dutch in Java: not simply modern Europeans</w:t>
      </w:r>
    </w:p>
    <w:p>
      <w:r>
        <w:t>Professor Kumar closes the lecture with a methodological warning. Modern readers should not assume that the Dutch of the seventeenth and eighteenth centuries were 'like us' simply because they were Europeans. They were products of a different world, with attitudes and punishments that now appear alien and often brutal.</w:t>
      </w:r>
    </w:p>
    <w:p>
      <w:r>
        <w:t>She also cautions against portraying the Dutch only as hard-headed businessmen in contrast to the Portuguese. The Dutch were children of a religious age; policy, commerce and religious categories were often interwoven. This helps explain, for example, restrictions on selling firearms to non-Christian natives and the role of Christianity in some colonial settings.</w:t>
      </w:r>
    </w:p>
    <w:p>
      <w:pPr>
        <w:pStyle w:val="Heading2"/>
      </w:pPr>
      <w:r>
        <w:t>Interpretive significance</w:t>
      </w:r>
    </w:p>
    <w:p>
      <w:r>
        <w:t>The fall of the VOC marks a major turning point in Indonesian colonial history. It ended the age of the chartered Company and opened the way to direct state colonial rule, first through the Dutch state, then briefly through the Napoleonic and British interregnum, and later through the nineteenth-century colonial administration.</w:t>
      </w:r>
    </w:p>
    <w:p>
      <w:r>
        <w:t>This package therefore links the seventeenth-century Dutch Strategy lecture, the eighteenth-century Java Under the VOC material, and the later lectures on Daendels, Raffles, the Java War, Van den Bosch and the Culture System. It shows that the colonial state was not created from nothing after 1800; it emerged from the ruins and practices of the Company.</w:t>
      </w:r>
    </w:p>
    <w:tbl>
      <w:tblPr>
        <w:tblStyle w:val="TableGrid"/>
        <w:tblW w:type="auto" w:w="0"/>
        <w:tblLook w:firstColumn="1" w:firstRow="1" w:lastColumn="0" w:lastRow="0" w:noHBand="0" w:noVBand="1" w:val="04A0"/>
      </w:tblPr>
      <w:tblGrid>
        <w:gridCol w:w="9936"/>
      </w:tblGrid>
      <w:tr>
        <w:tc>
          <w:tcPr>
            <w:tcW w:type="dxa" w:w="9936"/>
            <w:shd w:fill="EAF4F8"/>
          </w:tcPr>
          <w:p>
            <w:r>
              <w:rPr>
                <w:b/>
                <w:color w:val="173B5F"/>
                <w:sz w:val="24"/>
              </w:rPr>
              <w:t>Technical Vitality: VOC dissolution</w:t>
            </w:r>
          </w:p>
          <w:p>
            <w:r>
              <w:t>The VOC was wound up on 31 December 1799. Its territorial possessions and debts were taken over by the Batavian Republic, marking the end of Company rule and the beginning of direct state responsibility for the Netherlands Indies.</w:t>
            </w:r>
          </w:p>
        </w:tc>
      </w:tr>
    </w:tbl>
    <w:p/>
    <w:p>
      <w:pPr>
        <w:pStyle w:val="Heading2"/>
      </w:pPr>
      <w:r>
        <w:t>Proofing note</w:t>
      </w:r>
    </w:p>
    <w:p>
      <w:r>
        <w:t>Check the Treaty of Paris date, British occupation details, VOC debt figures, and the exact dissolution date against PDF Low Res-0005 before public release. Older spellings such as Oosthoek, Balambangan/Balambangan, Ceylon/Sri Lanka and Malacca/Melaka should be handled consistently.</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