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aramond" w:hAnsi="Garamond" w:eastAsia="Garamond"/>
          <w:b/>
          <w:color w:val="173B5F"/>
          <w:sz w:val="40"/>
        </w:rPr>
        <w:t>AK-L21: Java Under the VOC</w:t>
      </w:r>
    </w:p>
    <w:p>
      <w:pPr>
        <w:jc w:val="center"/>
      </w:pPr>
      <w:r>
        <w:rPr>
          <w:rFonts w:ascii="Garamond" w:hAnsi="Garamond" w:eastAsia="Garamond"/>
          <w:i/>
          <w:color w:val="425466"/>
          <w:sz w:val="24"/>
        </w:rPr>
        <w:t>Lecture Synopsis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Resource type</w:t>
            </w:r>
          </w:p>
        </w:tc>
        <w:tc>
          <w:tcPr>
            <w:tcW w:type="dxa" w:w="4968"/>
          </w:tcPr>
          <w:p>
            <w:r>
              <w:t>Lecture Synopsis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Hub</w:t>
            </w:r>
          </w:p>
        </w:tc>
        <w:tc>
          <w:tcPr>
            <w:tcW w:type="dxa" w:w="4968"/>
          </w:tcPr>
          <w:p>
            <w:r>
              <w:t>The Colonial Engine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Status</w:t>
            </w:r>
          </w:p>
        </w:tc>
        <w:tc>
          <w:tcPr>
            <w:tcW w:type="dxa" w:w="4968"/>
          </w:tcPr>
          <w:p>
            <w:r>
              <w:t>Breakout/enrichment resource</w:t>
            </w:r>
          </w:p>
        </w:tc>
      </w:tr>
      <w:tr>
        <w:tc>
          <w:tcPr>
            <w:tcW w:type="dxa" w:w="4968"/>
            <w:shd w:fill="F5F0E6"/>
          </w:tcPr>
          <w:p>
            <w:r>
              <w:rPr>
                <w:b/>
                <w:color w:val="173B5F"/>
              </w:rPr>
              <w:t>Source</w:t>
            </w:r>
          </w:p>
        </w:tc>
        <w:tc>
          <w:tcPr>
            <w:tcW w:type="dxa" w:w="4968"/>
          </w:tcPr>
          <w:p>
            <w:r>
              <w:t>PDF 005, eighteenth-century VOC lecture</w:t>
            </w:r>
          </w:p>
        </w:tc>
      </w:tr>
    </w:tbl>
    <w:p/>
    <w:p>
      <w:pPr>
        <w:pStyle w:val="Heading2"/>
      </w:pPr>
      <w:r>
        <w:t>Overview</w:t>
      </w:r>
    </w:p>
    <w:p>
      <w:r>
        <w:t>This package examines the transformation of VOC rule in Java during the eighteenth century. As the Company’s far-flung trade network became increasingly unprofitable, it turned toward Java as a base for extracting export produce. The result was not yet a modern colonial state, but a dense and coercive system of regents, forced deliveries, contingencies, overseers and political intervention.</w:t>
      </w:r>
    </w:p>
    <w:p>
      <w:pPr>
        <w:pStyle w:val="Heading2"/>
      </w:pPr>
      <w:r>
        <w:t>Core argument</w:t>
      </w:r>
    </w:p>
    <w:p>
      <w:r>
        <w:t>Java under the VOC shows the emergence of the colonial engine before formal Dutch state rule. The Company increasingly relied on Javanese regents and low-level overseers to extract teak, coffee and other produce, while its military interventions in succession disputes and crises such as the 1740 Chinese massacre deepened its political authority.</w:t>
      </w:r>
    </w:p>
    <w:p>
      <w:pPr>
        <w:pStyle w:val="Heading2"/>
      </w:pPr>
      <w:r>
        <w:t>Key points for students</w:t>
      </w:r>
    </w:p>
    <w:p>
      <w:pPr>
        <w:pStyle w:val="ListBullet"/>
      </w:pPr>
      <w:r>
        <w:t>The VOC’s international trade-web became less viable because of costly wars, loss-making posts and corruption among Company servants.</w:t>
      </w:r>
    </w:p>
    <w:p>
      <w:pPr>
        <w:pStyle w:val="ListBullet"/>
      </w:pPr>
      <w:r>
        <w:t>Java became the centre of a new extractive economy based on teak, coffee and other export produce.</w:t>
      </w:r>
    </w:p>
    <w:p>
      <w:pPr>
        <w:pStyle w:val="ListBullet"/>
      </w:pPr>
      <w:r>
        <w:t>Forced deliveries and contingencies tied Javanese regents to the VOC’s revenue system.</w:t>
      </w:r>
    </w:p>
    <w:p>
      <w:pPr>
        <w:pStyle w:val="ListBullet"/>
      </w:pPr>
      <w:r>
        <w:t>Coffee-sergeants/opzieners reveal the beginnings of a more intrusive colonial administration.</w:t>
      </w:r>
    </w:p>
    <w:p>
      <w:pPr>
        <w:pStyle w:val="ListBullet"/>
      </w:pPr>
      <w:r>
        <w:t>Javanese wars of succession allowed the VOC to install rulers, extract concessions and partition Mataram.</w:t>
      </w:r>
    </w:p>
    <w:p>
      <w:pPr>
        <w:pStyle w:val="ListBullet"/>
      </w:pPr>
      <w:r>
        <w:t>The 1740 Chinese crisis shows how Batavian commerce, ethnic politics, regulation, rumour, massacre and Javanese court politics became entangled.</w:t>
      </w:r>
    </w:p>
    <w:p>
      <w:pPr>
        <w:pStyle w:val="ListBullet"/>
      </w:pPr>
      <w:r>
        <w:t>The partition of Mataram and conquest of Balambangan marked the VOC’s effective removal or subjugation of rivals on Java.</w:t>
      </w:r>
    </w:p>
    <w:p>
      <w:pPr>
        <w:pStyle w:val="Heading2"/>
      </w:pPr>
      <w:r>
        <w:t>Why this package matters</w:t>
      </w:r>
    </w:p>
    <w:p>
      <w:r>
        <w:t>This resource bridges the Dutch Strategy lecture and the nineteenth-century Culture System. It shows how the mechanisms later intensified under state colonialism had already begun under the VOC: compulsory crop delivery, indirect rule through regents, administrative surveillance and coercive political restructuring.</w:t>
      </w:r>
    </w:p>
    <w:p>
      <w:pPr>
        <w:pStyle w:val="Heading2"/>
      </w:pPr>
      <w:r>
        <w:t>Suggested classroom questions</w:t>
      </w:r>
    </w:p>
    <w:p>
      <w:pPr>
        <w:pStyle w:val="ListBullet"/>
      </w:pPr>
      <w:r>
        <w:t>Why did the VOC shift from inter-Asian trade toward Java-centred extraction?</w:t>
      </w:r>
    </w:p>
    <w:p>
      <w:pPr>
        <w:pStyle w:val="ListBullet"/>
      </w:pPr>
      <w:r>
        <w:t>How did forced deliveries differ from contingencies, and why did the distinction blur?</w:t>
      </w:r>
    </w:p>
    <w:p>
      <w:pPr>
        <w:pStyle w:val="ListBullet"/>
      </w:pPr>
      <w:r>
        <w:t>What does the role of coffee-sergeants reveal about the early colonial state?</w:t>
      </w:r>
    </w:p>
    <w:p>
      <w:pPr>
        <w:pStyle w:val="ListBullet"/>
      </w:pPr>
      <w:r>
        <w:t>How did the Chinese crisis of 1740 reshape Java’s political landscape?</w:t>
      </w:r>
    </w:p>
    <w:p>
      <w:pPr>
        <w:pStyle w:val="ListBullet"/>
      </w:pPr>
      <w:r>
        <w:t>In what sense was the VOC becoming a colonial power before the formal colonial state existed?</w:t>
      </w:r>
    </w:p>
    <w:sectPr w:rsidR="00FC693F" w:rsidRPr="0006063C" w:rsidSect="00034616">
      <w:pgSz w:w="12240" w:h="15840"/>
      <w:pgMar w:top="1080" w:right="1152" w:bottom="10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69" w:lineRule="auto"/>
    </w:pPr>
    <w:rPr>
      <w:rFonts w:ascii="Garamond" w:hAnsi="Garamond" w:eastAsia="Garamond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Garamond" w:hAnsi="Garamond" w:eastAsia="Garamond"/>
      <w:b/>
      <w:bCs/>
      <w:color w:val="173B5F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