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aramond" w:hAnsi="Garamond" w:eastAsia="Garamond"/>
          <w:b/>
          <w:color w:val="173B5F"/>
          <w:sz w:val="40"/>
        </w:rPr>
        <w:t>AK-L21: Java Under the VOC</w:t>
      </w:r>
    </w:p>
    <w:p>
      <w:pPr>
        <w:jc w:val="center"/>
      </w:pPr>
      <w:r>
        <w:rPr>
          <w:rFonts w:ascii="Garamond" w:hAnsi="Garamond" w:eastAsia="Garamond"/>
          <w:i/>
          <w:color w:val="425466"/>
          <w:sz w:val="24"/>
        </w:rPr>
        <w:t>Further Reading</w:t>
      </w:r>
    </w:p>
    <w:p/>
    <w:p>
      <w:pPr>
        <w:pStyle w:val="Heading2"/>
      </w:pPr>
      <w:r>
        <w:t>Core readings from Professor Kumar’s notes</w:t>
      </w:r>
    </w:p>
    <w:p>
      <w:pPr>
        <w:pStyle w:val="Heading3"/>
      </w:pPr>
      <w:r>
        <w:t>H. J. de Graaf</w:t>
      </w:r>
    </w:p>
    <w:p>
      <w:r>
        <w:t>Works on eighteenth-century Java and Dutch-Javanese relations</w:t>
      </w:r>
    </w:p>
    <w:p>
      <w:r>
        <w:t>Important for the wars of succession, Mataram, the Treaty of Giyanti, and Dutch intervention in Javanese politics.</w:t>
      </w:r>
    </w:p>
    <w:p>
      <w:pPr>
        <w:pStyle w:val="Heading3"/>
      </w:pPr>
      <w:r>
        <w:t>J. S. Furnivall</w:t>
      </w:r>
    </w:p>
    <w:p>
      <w:r>
        <w:t>Netherlands India: A Study of Plural Economy</w:t>
      </w:r>
    </w:p>
    <w:p>
      <w:r>
        <w:t>Useful for understanding forced deliveries, contingencies and the economic foundations of Dutch rule.</w:t>
      </w:r>
    </w:p>
    <w:p>
      <w:pPr>
        <w:pStyle w:val="Heading3"/>
      </w:pPr>
      <w:r>
        <w:t>Leslie H. Palmier</w:t>
      </w:r>
    </w:p>
    <w:p>
      <w:r>
        <w:t>Social Status and Power in Java</w:t>
      </w:r>
    </w:p>
    <w:p>
      <w:r>
        <w:t>Relevant to Javanese nobility, regents, bupati and the social structures through which colonial extraction operated.</w:t>
      </w:r>
    </w:p>
    <w:p>
      <w:pPr>
        <w:pStyle w:val="Heading3"/>
      </w:pPr>
      <w:r>
        <w:t>Van Welderen Rengers</w:t>
      </w:r>
    </w:p>
    <w:p>
      <w:r>
        <w:t>The Failure of a Liberal Colonial Policy</w:t>
      </w:r>
    </w:p>
    <w:p>
      <w:r>
        <w:t>Useful for the longer trajectory from VOC practices to later colonial policy debates.</w:t>
      </w:r>
    </w:p>
    <w:p>
      <w:pPr>
        <w:pStyle w:val="Heading3"/>
      </w:pPr>
      <w:r>
        <w:t>J. C. van Leur</w:t>
      </w:r>
    </w:p>
    <w:p>
      <w:r>
        <w:t>Works on Indonesian trade and Dutch colonial history</w:t>
      </w:r>
    </w:p>
    <w:p>
      <w:r>
        <w:t>Important for interpreting the VOC in relation to Asian trade systems and European political developments.</w:t>
      </w:r>
    </w:p>
    <w:p>
      <w:pPr>
        <w:pStyle w:val="Heading3"/>
      </w:pPr>
      <w:r>
        <w:t>C. R. Boxer</w:t>
      </w:r>
    </w:p>
    <w:p>
      <w:r>
        <w:t>The Dutch Seaborne Empire</w:t>
      </w:r>
    </w:p>
    <w:p>
      <w:r>
        <w:t>Useful for broader VOC context, Dutch society overseas and the Company’s place in early modern imperial history.</w:t>
      </w:r>
    </w:p>
    <w:p>
      <w:pPr>
        <w:pStyle w:val="Heading2"/>
      </w:pPr>
      <w:r>
        <w:t>Useful themes for further research</w:t>
      </w:r>
    </w:p>
    <w:p>
      <w:pPr>
        <w:pStyle w:val="ListBullet"/>
      </w:pPr>
      <w:r>
        <w:t>forced deliveries Java VOC</w:t>
      </w:r>
    </w:p>
    <w:p>
      <w:pPr>
        <w:pStyle w:val="ListBullet"/>
      </w:pPr>
      <w:r>
        <w:t>contingencies VOC Java</w:t>
      </w:r>
    </w:p>
    <w:p>
      <w:pPr>
        <w:pStyle w:val="ListBullet"/>
      </w:pPr>
      <w:r>
        <w:t>coffee-sergeants opzieners Preanger</w:t>
      </w:r>
    </w:p>
    <w:p>
      <w:pPr>
        <w:pStyle w:val="ListBullet"/>
      </w:pPr>
      <w:r>
        <w:t>Chinese massacre Batavia 1740</w:t>
      </w:r>
    </w:p>
    <w:p>
      <w:pPr>
        <w:pStyle w:val="ListBullet"/>
      </w:pPr>
      <w:r>
        <w:t>Pakubuwana II Chinese resistance</w:t>
      </w:r>
    </w:p>
    <w:p>
      <w:pPr>
        <w:pStyle w:val="ListBullet"/>
      </w:pPr>
      <w:r>
        <w:t>Treaty of Giyanti 1755</w:t>
      </w:r>
    </w:p>
    <w:p>
      <w:pPr>
        <w:pStyle w:val="ListBullet"/>
      </w:pPr>
      <w:r>
        <w:t>Balambangan Oosthoek VOC</w:t>
      </w:r>
    </w:p>
    <w:p>
      <w:pPr>
        <w:pStyle w:val="ListBullet"/>
      </w:pPr>
      <w:r>
        <w:t>VOC Java eighteenth century</w:t>
      </w:r>
    </w:p>
    <w:p>
      <w:pPr>
        <w:pStyle w:val="ListBullet"/>
      </w:pPr>
      <w:r>
        <w:t>regents bupati VOC Java</w:t>
      </w:r>
    </w:p>
    <w:p>
      <w:pPr>
        <w:pStyle w:val="Heading2"/>
      </w:pPr>
      <w:r>
        <w:t>Research note</w:t>
      </w:r>
    </w:p>
    <w:p>
      <w:r>
        <w:t>For the public bibliography, verify the exact editions and page references for de Graaf, Furnivall, Palmier and van Welderen Rengers. This resource is intended as a compact teaching aid rather than a full bibliographic essay.</w:t>
      </w:r>
    </w:p>
    <w:sectPr w:rsidR="00FC693F" w:rsidRPr="0006063C" w:rsidSect="00034616"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69" w:lineRule="auto"/>
    </w:pPr>
    <w:rPr>
      <w:rFonts w:ascii="Garamond" w:hAnsi="Garamond" w:eastAsia="Garamond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