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Garamond" w:hAnsi="Garamond" w:eastAsia="Garamond"/>
          <w:b/>
          <w:color w:val="173B5F"/>
          <w:sz w:val="40"/>
        </w:rPr>
        <w:t>AK-L21: Java Under the VOC</w:t>
      </w:r>
    </w:p>
    <w:p>
      <w:pPr>
        <w:jc w:val="center"/>
      </w:pPr>
      <w:r>
        <w:rPr>
          <w:rFonts w:ascii="Garamond" w:hAnsi="Garamond" w:eastAsia="Garamond"/>
          <w:i/>
          <w:color w:val="425466"/>
          <w:sz w:val="24"/>
        </w:rPr>
        <w:t>Forced Deliveries, Coffee-Sergeants and the Chinese Crisis</w:t>
      </w:r>
    </w:p>
    <w:p/>
    <w:tbl>
      <w:tblPr>
        <w:tblStyle w:val="TableGrid"/>
        <w:tblW w:type="auto" w:w="0"/>
        <w:tblLook w:firstColumn="1" w:firstRow="1" w:lastColumn="0" w:lastRow="0" w:noHBand="0" w:noVBand="1" w:val="04A0"/>
      </w:tblPr>
      <w:tblGrid>
        <w:gridCol w:w="4968"/>
        <w:gridCol w:w="4968"/>
      </w:tblGrid>
      <w:tr>
        <w:tc>
          <w:tcPr>
            <w:tcW w:type="dxa" w:w="4968"/>
            <w:shd w:fill="F5F0E6"/>
          </w:tcPr>
          <w:p>
            <w:r>
              <w:rPr>
                <w:b/>
                <w:color w:val="173B5F"/>
              </w:rPr>
              <w:t>Archive</w:t>
            </w:r>
          </w:p>
        </w:tc>
        <w:tc>
          <w:tcPr>
            <w:tcW w:type="dxa" w:w="4968"/>
          </w:tcPr>
          <w:p>
            <w:r>
              <w:t>Professor Ann Kumar Southeast Asian Civilisation Archive</w:t>
            </w:r>
          </w:p>
        </w:tc>
      </w:tr>
      <w:tr>
        <w:tc>
          <w:tcPr>
            <w:tcW w:type="dxa" w:w="4968"/>
            <w:shd w:fill="F5F0E6"/>
          </w:tcPr>
          <w:p>
            <w:r>
              <w:rPr>
                <w:b/>
                <w:color w:val="173B5F"/>
              </w:rPr>
              <w:t>Lecture package</w:t>
            </w:r>
          </w:p>
        </w:tc>
        <w:tc>
          <w:tcPr>
            <w:tcW w:type="dxa" w:w="4968"/>
          </w:tcPr>
          <w:p>
            <w:r>
              <w:t>AK-L21</w:t>
            </w:r>
          </w:p>
        </w:tc>
      </w:tr>
      <w:tr>
        <w:tc>
          <w:tcPr>
            <w:tcW w:type="dxa" w:w="4968"/>
            <w:shd w:fill="F5F0E6"/>
          </w:tcPr>
          <w:p>
            <w:r>
              <w:rPr>
                <w:b/>
                <w:color w:val="173B5F"/>
              </w:rPr>
              <w:t>Source</w:t>
            </w:r>
          </w:p>
        </w:tc>
        <w:tc>
          <w:tcPr>
            <w:tcW w:type="dxa" w:w="4968"/>
          </w:tcPr>
          <w:p>
            <w:r>
              <w:t>Breakout/enrichment from PDF 005: Dutch and Indonesians in the 18th Century / Changes in the nature of the VOC "empire"</w:t>
            </w:r>
          </w:p>
        </w:tc>
      </w:tr>
      <w:tr>
        <w:tc>
          <w:tcPr>
            <w:tcW w:type="dxa" w:w="4968"/>
            <w:shd w:fill="F5F0E6"/>
          </w:tcPr>
          <w:p>
            <w:r>
              <w:rPr>
                <w:b/>
                <w:color w:val="173B5F"/>
              </w:rPr>
              <w:t>Prepared resource type</w:t>
            </w:r>
          </w:p>
        </w:tc>
        <w:tc>
          <w:tcPr>
            <w:tcW w:type="dxa" w:w="4968"/>
          </w:tcPr>
          <w:p>
            <w:r>
              <w:t>Clean Transcript</w:t>
            </w:r>
          </w:p>
        </w:tc>
      </w:tr>
      <w:tr>
        <w:tc>
          <w:tcPr>
            <w:tcW w:type="dxa" w:w="4968"/>
            <w:shd w:fill="F5F0E6"/>
          </w:tcPr>
          <w:p>
            <w:r>
              <w:rPr>
                <w:b/>
                <w:color w:val="173B5F"/>
              </w:rPr>
              <w:t>Status</w:t>
            </w:r>
          </w:p>
        </w:tc>
        <w:tc>
          <w:tcPr>
            <w:tcW w:type="dxa" w:w="4968"/>
          </w:tcPr>
          <w:p>
            <w:r>
              <w:t>Working clean copy - enrichment resource; final scholarly proofing recommended</w:t>
            </w:r>
          </w:p>
        </w:tc>
      </w:tr>
    </w:tbl>
    <w:p/>
    <w:tbl>
      <w:tblPr>
        <w:tblStyle w:val="TableGrid"/>
        <w:tblW w:type="auto" w:w="0"/>
        <w:tblLook w:firstColumn="1" w:firstRow="1" w:lastColumn="0" w:lastRow="0" w:noHBand="0" w:noVBand="1" w:val="04A0"/>
      </w:tblPr>
      <w:tblGrid>
        <w:gridCol w:w="9936"/>
      </w:tblGrid>
      <w:tr>
        <w:tc>
          <w:tcPr>
            <w:tcW w:type="dxa" w:w="9936"/>
            <w:shd w:fill="FFF4DD"/>
          </w:tcPr>
          <w:p>
            <w:r>
              <w:rPr>
                <w:b/>
                <w:color w:val="173B5F"/>
                <w:sz w:val="24"/>
              </w:rPr>
              <w:t>Archive note</w:t>
            </w:r>
          </w:p>
          <w:p>
            <w:r>
              <w:t>This item is presented as an enrichment or breakout package. It draws directly from Professor Kumar’s eighteenth-century VOC lecture and expands the “Java Under the VOC” sub-page proposed in the archive strategy.</w:t>
            </w:r>
          </w:p>
        </w:tc>
      </w:tr>
    </w:tbl>
    <w:p/>
    <w:p>
      <w:pPr>
        <w:pStyle w:val="Heading2"/>
      </w:pPr>
      <w:r>
        <w:t>Context: from trading web to Java-centred extraction</w:t>
      </w:r>
    </w:p>
    <w:p>
      <w:r>
        <w:t>This breakout package follows Professor Kumar's lecture on the eighteenth-century transformation of the VOC. It narrows the focus to Java under the Company: the move from a far-flung trade empire to a colonial system increasingly dependent on extracting export produce from Javanese society.</w:t>
      </w:r>
    </w:p>
    <w:p>
      <w:r>
        <w:t>Coen's seventeenth-century vision of a web of forts and factories across Asia had proved too costly and too fragile. Many VOC posts operated at a loss, wars against rival ports and states were expensive, and Company servants often engaged in private trade and other malpractices. As international trade became less profitable, the VOC turned more heavily towards Java.</w:t>
      </w:r>
    </w:p>
    <w:p>
      <w:pPr>
        <w:pStyle w:val="Heading2"/>
      </w:pPr>
      <w:r>
        <w:t>Forced deliveries and contingencies</w:t>
      </w:r>
    </w:p>
    <w:p>
      <w:r>
        <w:t>The new Java-centred economy depended on export produce. Professor Kumar identifies teak and especially coffee as crucial commodities. Coffee was planted principally in the hilly regions of West Java, especially the Preanger/Priangan area.</w:t>
      </w:r>
    </w:p>
    <w:p>
      <w:r>
        <w:t>The Company used native regents, or bupati, as agents of production. Under the system of forced deliveries, regents guaranteed to deliver specified quantities of produce at specified prices. At first these prices were negotiated, but over time the VOC was able to fix terms unilaterally.</w:t>
      </w:r>
    </w:p>
    <w:p>
      <w:r>
        <w:t>In districts outside the coffee and teak regions, contingencies operated: the regent agreed to deliver part of the produce of the regency to the VOC as tribute, usually without payment. In practice, the distinction between forced deliveries and contingencies could blur.</w:t>
      </w:r>
    </w:p>
    <w:p>
      <w:pPr>
        <w:pStyle w:val="Heading2"/>
      </w:pPr>
      <w:r>
        <w:t>Regents, bupati and coffee-sergeants</w:t>
      </w:r>
    </w:p>
    <w:p>
      <w:r>
        <w:t>This system relied on indigenous administrative structures, but it altered their function. Regents raised taxes in kind, paid subordinates and enforced cultivation obligations. Their cooperation became essential to the VOC's extractive economy.</w:t>
      </w:r>
    </w:p>
    <w:p>
      <w:r>
        <w:t>At the base of the emerging colonial administration were overseers, or opzieners, also known as coffee-sergeants because of their role in organising coffee cultivation. They were meant to ensure that cultivators planted required crops and to watch the regents.</w:t>
      </w:r>
    </w:p>
    <w:p>
      <w:r>
        <w:t>Professor Kumar notes that many coffee-sergeants made money by advancing funds to regents at interest, since the regent was not paid until the crop was delivered. This points to the unstable, semi-private and often exploitative texture of VOC administration.</w:t>
      </w:r>
    </w:p>
    <w:p>
      <w:pPr>
        <w:pStyle w:val="Heading2"/>
      </w:pPr>
      <w:r>
        <w:t>Wars of succession and Dutch intervention</w:t>
      </w:r>
    </w:p>
    <w:p>
      <w:r>
        <w:t>The eighteenth century was marked by deep VOC involvement in Javanese politics. Banten had become a dependent state, while Mataram became the arena for repeated Dutch interventions.</w:t>
      </w:r>
    </w:p>
    <w:p>
      <w:r>
        <w:t>The First Javanese War of Succession began in 1704, when Mangkurat III was dethroned by the Dutch in favour of Pangeran Puger, later Pakubuwana I. Further conflicts followed, including the Second Javanese War of Succession and the long period of warfare from 1740 to 1757.</w:t>
      </w:r>
    </w:p>
    <w:p>
      <w:r>
        <w:t>These wars allowed the Company to install favourable rulers, extract concessions and restructure Javanese power. By the mid-eighteenth century, Mataram was partitioned into principalities under VOC sovereignty.</w:t>
      </w:r>
    </w:p>
    <w:p>
      <w:pPr>
        <w:pStyle w:val="Heading2"/>
      </w:pPr>
      <w:r>
        <w:t>The Chinese crisis of 1740</w:t>
      </w:r>
    </w:p>
    <w:p>
      <w:r>
        <w:t>Professor Kumar gives special attention to the Chinese community in and around Batavia. Coen had encouraged Chinese settlement, seeing Chinese labour, trade and enterprise as essential to Batavia's commercial success.</w:t>
      </w:r>
    </w:p>
    <w:p>
      <w:r>
        <w:t>Chinese residents were active as tradesmen, artisans, small traders, restaurateurs, arak distillers and commercial agriculturalists, especially in sugar. Later administrators became alarmed by unemployed Chinese and introduced deportation regulations for those not considered usefully employed.</w:t>
      </w:r>
    </w:p>
    <w:p>
      <w:r>
        <w:t>Abuses in these regulations, including extortion under threat of deportation, helped produce fear and rumour. Reports spread that Chinese deportees were being thrown overboard at sea. Chinese flight from Batavia and armed resistance were followed by massacres inside the city, with the Governor-General ordering the execution of Chinese prisoners.</w:t>
      </w:r>
    </w:p>
    <w:p>
      <w:r>
        <w:t>The crisis spread beyond Batavia. Chinese resistance moved along Java's north coast and inland, becoming entangled with Mataram politics when Pakubuwana II initially joined forces with the Chinese and then reversed course.</w:t>
      </w:r>
    </w:p>
    <w:p>
      <w:pPr>
        <w:pStyle w:val="Heading2"/>
      </w:pPr>
      <w:r>
        <w:t>Partition, Balambangan and the end of rivals on Java</w:t>
      </w:r>
    </w:p>
    <w:p>
      <w:r>
        <w:t>After prolonged warfare, the VOC partitioned Mataram through the Treaty of Giyanti in 1755, creating Surakarta under Pakubuwana III and Yogyakarta under Mangkubumi, who took the title Hamengkubuwana. In 1757 a smaller Mangkunegaran principality was created for Mas Said.</w:t>
      </w:r>
    </w:p>
    <w:p>
      <w:r>
        <w:t>The Dutch deliberately scattered the territories of these principalities to prevent dangerous concentrations of power. A fourth principality, the Pakualaman, would later be created under Raffles.</w:t>
      </w:r>
    </w:p>
    <w:p>
      <w:r>
        <w:t>The last major VOC campaign on Java was the conquest of the Oosthoek, centred on Balambangan, the last Hindu kingdom on Java and a refuge for anti-Dutch elements. The Dutch enforced a shift from Hinduism to Islam in order to weaken Balambangan's ties with Bali.</w:t>
      </w:r>
    </w:p>
    <w:p>
      <w:pPr>
        <w:pStyle w:val="Heading2"/>
      </w:pPr>
      <w:r>
        <w:t>Interpretive significance</w:t>
      </w:r>
    </w:p>
    <w:p>
      <w:r>
        <w:t>This breakout package shows how the VOC changed from a trading company into something closer to a territorial colonial power in Java. It did not initially seek a modern colonial state, but the logic of monopoly, debt, military intervention and produce extraction drove it towards more direct political involvement.</w:t>
      </w:r>
    </w:p>
    <w:p>
      <w:r>
        <w:t>The material also shows that Dutch colonial power did not operate in isolation. It worked through regents, fiscal obligations, Company overseers, commercial minorities, Javanese court politics and military crises. The colonial engine was improvised, violent, financially pressured and dependent on local intermediaries.</w:t>
      </w:r>
    </w:p>
    <w:tbl>
      <w:tblPr>
        <w:tblStyle w:val="TableGrid"/>
        <w:tblW w:type="auto" w:w="0"/>
        <w:tblLook w:firstColumn="1" w:firstRow="1" w:lastColumn="0" w:lastRow="0" w:noHBand="0" w:noVBand="1" w:val="04A0"/>
      </w:tblPr>
      <w:tblGrid>
        <w:gridCol w:w="9936"/>
      </w:tblGrid>
      <w:tr>
        <w:tc>
          <w:tcPr>
            <w:tcW w:type="dxa" w:w="9936"/>
            <w:shd w:fill="EAF4F8"/>
          </w:tcPr>
          <w:p>
            <w:r>
              <w:rPr>
                <w:b/>
                <w:color w:val="173B5F"/>
                <w:sz w:val="24"/>
              </w:rPr>
              <w:t>Technical Vitality: Coffee-sergeants</w:t>
            </w:r>
          </w:p>
          <w:p>
            <w:r>
              <w:t>Coffee-sergeants, or opzieners, were low-level colonial overseers charged with supervising coffee cultivation and watching the regents. Their role marks the humble beginnings of a more intrusive colonial administrative apparatus in Java.</w:t>
            </w:r>
          </w:p>
        </w:tc>
      </w:tr>
    </w:tbl>
    <w:p/>
    <w:p>
      <w:pPr>
        <w:pStyle w:val="Heading2"/>
      </w:pPr>
      <w:r>
        <w:t>Proofing note</w:t>
      </w:r>
    </w:p>
    <w:p>
      <w:r>
        <w:t>Check the 1704, 1719, 1740, 1755 and 1757 dates, names and monetary figures against PDF Low Res-0005 before public release. Older spellings such as Preanger/Priangan, Giyanti/Gianti and Balambangan/Balambangen should be standardised or footnoted according to site policy.</w:t>
      </w:r>
    </w:p>
    <w:sectPr w:rsidR="00FC693F" w:rsidRPr="0006063C" w:rsidSect="00034616">
      <w:pgSz w:w="12240" w:h="15840"/>
      <w:pgMar w:top="1080" w:right="1152" w:bottom="108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69" w:lineRule="auto"/>
    </w:pPr>
    <w:rPr>
      <w:rFonts w:ascii="Garamond" w:hAnsi="Garamond" w:eastAsia="Garamond"/>
      <w:sz w:val="23"/>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20"/>
      <w:outlineLvl w:val="0"/>
    </w:pPr>
    <w:rPr>
      <w:rFonts w:asciiTheme="majorHAnsi" w:eastAsiaTheme="majorEastAsia" w:hAnsiTheme="majorHAnsi" w:cstheme="majorBidi" w:ascii="Garamond" w:hAnsi="Garamond" w:eastAsia="Garamond"/>
      <w:b/>
      <w:bCs/>
      <w:color w:val="173B5F"/>
      <w:sz w:val="40"/>
      <w:szCs w:val="28"/>
    </w:rPr>
  </w:style>
  <w:style w:type="paragraph" w:styleId="Heading2">
    <w:name w:val="heading 2"/>
    <w:basedOn w:val="Normal"/>
    <w:next w:val="Normal"/>
    <w:link w:val="Heading2Char"/>
    <w:uiPriority w:val="9"/>
    <w:unhideWhenUsed/>
    <w:qFormat/>
    <w:rsid w:val="00FC693F"/>
    <w:pPr>
      <w:keepNext/>
      <w:keepLines/>
      <w:spacing w:before="200" w:after="120"/>
      <w:outlineLvl w:val="1"/>
    </w:pPr>
    <w:rPr>
      <w:rFonts w:asciiTheme="majorHAnsi" w:eastAsiaTheme="majorEastAsia" w:hAnsiTheme="majorHAnsi" w:cstheme="majorBidi" w:ascii="Garamond" w:hAnsi="Garamond" w:eastAsia="Garamond"/>
      <w:b/>
      <w:bCs/>
      <w:color w:val="173B5F"/>
      <w:sz w:val="30"/>
      <w:szCs w:val="26"/>
    </w:rPr>
  </w:style>
  <w:style w:type="paragraph" w:styleId="Heading3">
    <w:name w:val="heading 3"/>
    <w:basedOn w:val="Normal"/>
    <w:next w:val="Normal"/>
    <w:link w:val="Heading3Char"/>
    <w:uiPriority w:val="9"/>
    <w:unhideWhenUsed/>
    <w:qFormat/>
    <w:rsid w:val="00FC693F"/>
    <w:pPr>
      <w:keepNext/>
      <w:keepLines/>
      <w:spacing w:before="200" w:after="120"/>
      <w:outlineLvl w:val="2"/>
    </w:pPr>
    <w:rPr>
      <w:rFonts w:asciiTheme="majorHAnsi" w:eastAsiaTheme="majorEastAsia" w:hAnsiTheme="majorHAnsi" w:cstheme="majorBidi" w:ascii="Garamond" w:hAnsi="Garamond" w:eastAsia="Garamond"/>
      <w:b/>
      <w:bCs/>
      <w:color w:val="173B5F"/>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