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C5943A"/>
          <w:sz w:val="18"/>
        </w:rPr>
        <w:t>Professor Ann Kumar Southeast Asian Civilisation Archive</w:t>
      </w:r>
    </w:p>
    <w:p>
      <w:pPr>
        <w:pStyle w:val="Title"/>
        <w:jc w:val="center"/>
      </w:pPr>
      <w:r>
        <w:t>AK-L13: The Liberal Period and the Rise of Plantation Capitalism</w:t>
      </w:r>
    </w:p>
    <w:p>
      <w:pPr>
        <w:jc w:val="center"/>
      </w:pPr>
      <w:r>
        <w:rPr>
          <w:b/>
          <w:color w:val="1B3A5C"/>
          <w:sz w:val="26"/>
        </w:rPr>
        <w:t>Clean Transcript</w:t>
      </w:r>
    </w:p>
    <w:p>
      <w:pPr>
        <w:jc w:val="center"/>
        <w:pBdr>
          <w:bottom w:val="single" w:sz="8" w:space="6" w:color="C5943A"/>
        </w:pBdr>
      </w:pPr>
      <w:r>
        <w:rPr>
          <w:i/>
          <w:color w:val="4A5568"/>
        </w:rPr>
        <w:t>Edited teaching transcript reconstructed from Professor Kumar's lecture notes.</w:t>
      </w:r>
    </w:p>
    <w:p>
      <w:pPr>
        <w:pStyle w:val="Heading1"/>
      </w:pPr>
      <w:r>
        <w:t>Editorial Note</w:t>
      </w:r>
    </w:p>
    <w:p>
      <w:r>
        <w:t>This clean transcript reconstructs the Liberal Period section of Professor Kumar's lecture on the transition from the Culture System to the Ethical Policy. It has been lightly edited for readability, with obvious OCR errors corrected and older abbreviations expanded where the intended meaning is clear. It should still be checked against the original scan before final scholarly publication.</w:t>
      </w:r>
    </w:p>
    <w:p>
      <w:pPr>
        <w:pStyle w:val="Heading1"/>
      </w:pPr>
      <w:r>
        <w:t>1. From Culture System to Liberal Colonial Government</w:t>
      </w:r>
    </w:p>
    <w:p>
      <w:r>
        <w:t>The last lecture dealt with the appointment of Isaac Dignus Fransen van der Putte as Minister of Colonies. He began to reorganise colonial policy according to liberal principles. The Liberals generally regarded the Regent as a survival from an older order of arbitrary oppression. Their administrative aim was therefore to weaken quasi-hereditary aristocratic authority and to lay the foundations of a more regular native civil service.</w:t>
      </w:r>
    </w:p>
    <w:p>
      <w:r>
        <w:t>Van der Putte began a reorganisation of the administrative machinery. Civil servants were no longer to be appointed in a quasi-hereditary fashion, but as ordinary government employees. The Regent became less an instrument of colonial power and more a ceremonial or ornamental figure within a modernising bureaucracy.</w:t>
      </w:r>
    </w:p>
    <w:p>
      <w:pPr>
        <w:pStyle w:val="Heading1"/>
      </w:pPr>
      <w:r>
        <w:t>2. Economic Reform and the Slow End of Forced Cultivation</w:t>
      </w:r>
    </w:p>
    <w:p>
      <w:r>
        <w:t>On the economic side, Van der Putte began by abolishing the forced cultivation of some products, including spices, tea and tobacco. These, however, were no longer among the most profitable forced crops. He also removed certain abuses, including the percentage system, under which European officials received commissions from the proceeds of forced cultures.</w:t>
      </w:r>
    </w:p>
    <w:p>
      <w:r>
        <w:t>The end of the Culture System is usually dated to 1870, the year of the Sugar Law. This law provided that the government would abandon forced sugar cultivation in twelve annual stages beginning in 1878, and it also permitted the free sale of sugar in Java. The process was slow. Coffee, the most profitable crop under the old system, remained a forced culture until 1917.</w:t>
      </w:r>
    </w:p>
    <w:tbl>
      <w:tblPr>
        <w:tblW w:type="auto" w:w="0"/>
        <w:tblLayout w:type="autofit"/>
        <w:tblLook w:firstColumn="1" w:firstRow="1" w:lastColumn="0" w:lastRow="0" w:noHBand="0" w:noVBand="1" w:val="04A0"/>
      </w:tblPr>
      <w:tblGrid>
        <w:gridCol w:w="9994"/>
      </w:tblGrid>
      <w:tr>
        <w:tc>
          <w:tcPr>
            <w:tcW w:type="dxa" w:w="9994"/>
            <w:shd w:fill="F8F2E7"/>
          </w:tcPr>
          <w:p>
            <w:r>
              <w:rPr>
                <w:rFonts w:ascii="Georgia" w:hAnsi="Georgia"/>
                <w:b/>
                <w:color w:val="1B3A5C"/>
              </w:rPr>
              <w:t>Key Point</w:t>
            </w:r>
          </w:p>
          <w:p>
            <w:pPr>
              <w:spacing w:after="0"/>
            </w:pPr>
            <w:r>
              <w:t>The Liberal Period did not simply liberate Javanese peasants from colonial extraction. It shifted the centre of opportunity from state-controlled forced cultivation towards private Dutch capital and plantation enterprise.</w:t>
            </w:r>
          </w:p>
        </w:tc>
      </w:tr>
    </w:tbl>
    <w:p/>
    <w:p>
      <w:pPr>
        <w:pStyle w:val="Heading1"/>
      </w:pPr>
      <w:r>
        <w:t>3. Liberalism for Whom?</w:t>
      </w:r>
    </w:p>
    <w:p>
      <w:r>
        <w:t>In practice, the transition from the Culture System to the Liberal Period was more significant for the Dutch minority than for the Javanese peasantry. The colony was still treated as a business concern. The main change was that, as government-controlled forced cultures were progressively abolished, individual Dutch planters and businessmen were able to take a greater share in the colonial economy.</w:t>
      </w:r>
    </w:p>
    <w:p>
      <w:r>
        <w:t>This is why the word liberal requires careful handling. Liberalism here included humanitarian criticism of forced cultivation, but it also meant support for free enterprise. For Dutch capitalists and planters, the end of government monopoly opened the colony to private investment. For Indonesian cultivators, the consequences were more ambiguous.</w:t>
      </w:r>
    </w:p>
    <w:p>
      <w:pPr>
        <w:pStyle w:val="Heading1"/>
      </w:pPr>
      <w:r>
        <w:t>4. From Islands of Influence to a Netherlands Indies</w:t>
      </w:r>
    </w:p>
    <w:p>
      <w:r>
        <w:t>The decades after 1870 saw more than a shift from forced cultivation to private enterprise. They also saw the consolidation of a modern colonial territorial state. Earlier Southeast Asian politics had not been organised around sharply bounded nation-states. There were centres of power, such as Batavia, Manila and Singapore, with directly administered areas around them. Their influence faded outward through concentric circles of vassalage, tributary relations and looser dependencies until it met the sphere of another power centre.</w:t>
      </w:r>
    </w:p>
    <w:p>
      <w:r>
        <w:t>Around the old core of Java, the Dutch built a three-thousand-mile arc of island possessions into the new Netherlands Indies. This would eventually become Indonesia: the largest, most populous and culturally diverse of the twentieth-century Southeast Asian states.</w:t>
      </w:r>
    </w:p>
    <w:p>
      <w:pPr>
        <w:pStyle w:val="Heading1"/>
      </w:pPr>
      <w:r>
        <w:t>5. The Colonial State around 1870</w:t>
      </w:r>
    </w:p>
    <w:p>
      <w:r>
        <w:t>By about 1870 the Governor-General at Batavia controlled a relatively small Dutch administration and a relatively small but well-trained army. Java, with Madura, had a population of about seventeen million and remained the main base of Dutch power. Alongside the Dutch administration stood a Javanese priyayi class engaged in government and administration.</w:t>
      </w:r>
    </w:p>
    <w:p>
      <w:r>
        <w:t>Outside Java there were only a few areas under direct Dutch administration, such as the Moluccas and the tin island of Bangka. West Sumatra, including the Minangkabau area, was more directly administered after the defeat of the Padri movement in 1837. Beyond such areas, Batavia exercised a looser form of overlordship over many native states, often maintained by occasional military expeditions.</w:t>
      </w:r>
    </w:p>
    <w:p>
      <w:pPr>
        <w:pStyle w:val="Heading1"/>
      </w:pPr>
      <w:r>
        <w:t>6. Three Sumatra Examples: Toba, Medan and Aceh</w:t>
      </w:r>
    </w:p>
    <w:p>
      <w:r>
        <w:t>Professor Kumar illustrates the changing reach of the colonial state through three examples from Sumatra. The first is Toba Batak society north of the Minangkabau region. The Tobas were a wet-rice-growing community and, unlike most Sumatran peoples, were still largely pagan up to about 1860. From this period they were influenced by German Protestant missionaries. Christianity became for many Tobas a medium of modernisation, and in the twentieth century they became more important in Indonesian affairs than their numbers alone would suggest. At the same time, the Dutch government brought the Tobas under more direct administration.</w:t>
      </w:r>
    </w:p>
    <w:p>
      <w:r>
        <w:t>The second example is the Medan area, where European economy and society entered through the development of Dutch tobacco plantations from about 1863. These plantations were private-enterprise ventures. Their success created a demand for more labour than the local population could supply, and Chinese and Malay immigrants were brought in. Some Chinese not only worked on plantations but owned them. This influx changed the structure of local society and helped create new social hierarchies associated with plantation labour.</w:t>
      </w:r>
    </w:p>
    <w:p>
      <w:r>
        <w:t>The third example is Aceh, an independent sultanate and the last major native state to resist military absorption into the Dutch East Indies. The Dutch campaign began in 1873, influenced partly by fear of British expansion from the other side of the Straits of Malacca. The war continued until 1904. As in Burma, occupying the capital was easier than pacifying the countryside. Guerrilla resistance continued long after the formal defeat of the ruler.</w:t>
      </w:r>
    </w:p>
    <w:p>
      <w:pPr>
        <w:pStyle w:val="Heading1"/>
      </w:pPr>
      <w:r>
        <w:t>7. Snouck Hurgronje and Aceh</w:t>
      </w:r>
    </w:p>
    <w:p>
      <w:r>
        <w:t>Aceh had long been one of the most strongly Islamic regions of Indonesia. The Dutch therefore sought specialist advice, turning to Christiaan Snouck Hurgronje, Professor of Islamic Studies at Leiden. He had spent time in Mecca and later spent several months in Aceh in 1892-1893. His advice was that not all hajis should be treated as enemies, but that some religious leaders would invoke Holy War and never accept rule by an infidel government.</w:t>
      </w:r>
    </w:p>
    <w:p>
      <w:r>
        <w:t>Snouck advised the Dutch to distinguish between irreconcilable religious leaders and the wider population. The former, he believed, had to be met by force; the latter might accept Dutch rule if assured that they could continue practising Islam. From about 1897-1898 the Dutch began to gain greater control in Aceh, though this was due both to Snouck's advice and to more effective military tactics, including mobile forces suited to guerrilla warfare.</w:t>
      </w:r>
    </w:p>
    <w:p>
      <w:pPr>
        <w:pStyle w:val="Heading1"/>
      </w:pPr>
      <w:r>
        <w:t>8. Expansion, Infrastructure and the Decline of the Regents</w:t>
      </w:r>
    </w:p>
    <w:p>
      <w:r>
        <w:t>After the Aceh campaigns partly ended, Dutch troops were freed for use elsewhere in the archipelago. By the end of the first decade of the twentieth century more than two hundred petty rulers had signed the short declaration, acknowledging Dutch rule and promising obedience to Dutch orders. Bali was also brought under control through military expeditions, including the puputans at Badung and Klungkung in 1906 and 1908.</w:t>
      </w:r>
    </w:p>
    <w:p>
      <w:r>
        <w:t>At the same time there was major railway construction, the spread of telegraphs, banks and newspapers, and the growth of more specialised branches of government. The Regents were increasingly left behind. From 1879 the Dutch government tried to educate Regents for modern times, but the pace of administrative change was too fast for them to recover their old importance. Old status symbols such as retinues and the use of the pajung began to seem out of place in a bureaucratic order dependent on paperwork and technical expertise.</w:t>
      </w:r>
    </w:p>
    <w:p>
      <w:pPr>
        <w:pStyle w:val="Heading1"/>
      </w:pPr>
      <w:r>
        <w:t>9. Historical Significance</w:t>
      </w:r>
    </w:p>
    <w:p>
      <w:r>
        <w:t>The Liberal Period is therefore not simply a story of reform. It marks the rise of private plantation capitalism, the consolidation of a territorial Netherlands Indies, the expansion of Dutch military and administrative reach, and the further weakening of older indigenous elites. The colonial economy was modernised, but modernisation was organised around Dutch capital and Dutch power. This unresolved contradiction set the stage for the Ethical Policy and, eventually, for nationalist responses.</w:t>
      </w:r>
    </w:p>
    <w:sectPr w:rsidR="00FC693F" w:rsidRPr="0006063C" w:rsidSect="00034616">
      <w:headerReference w:type="default" r:id="rId9"/>
      <w:footerReference w:type="default" r:id="rId10"/>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4A5568"/>
        <w:sz w:val="16"/>
      </w:rPr>
      <w:t>AK-L13 - The Liberal Period and the Rise of Plantation Capitalism</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color w:val="4A5568"/>
        <w:sz w:val="16"/>
      </w:rPr>
      <w:t>Professor Ann Kumar Southeast Asian Civilisation Archive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40"/>
    </w:pPr>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1B3A5C"/>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1B3A5C"/>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1B3A5C"/>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Georgia" w:hAnsi="Georgia" w:eastAsia="Georgia"/>
      <w:color w:val="1B3A5C"/>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AK-L13: The Liberal Period and the Rise of Plantation Capitalism</dc:title>
  <dc:subject/>
  <dc:creator>Kevin Parker / Prof. Ann Kumar Archive Project</dc:creator>
  <cp:keywords/>
  <dc:description>generated by python-docx</dc:description>
  <cp:lastModifiedBy/>
  <cp:revision>1</cp:revision>
  <dcterms:created xsi:type="dcterms:W3CDTF">2013-12-23T23:15:00Z</dcterms:created>
  <dcterms:modified xsi:type="dcterms:W3CDTF">2013-12-23T23:15:00Z</dcterms:modified>
  <cp:category/>
</cp:coreProperties>
</file>