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AK-L11: From c. 1800 to the End of the Culture System - Web Publishing Notes</w:t>
      </w:r>
    </w:p>
    <w:p>
      <w:pPr>
        <w:jc w:val="center"/>
      </w:pPr>
      <w:r>
        <w:rPr>
          <w:i/>
          <w:color w:val="4A5568"/>
          <w:sz w:val="22"/>
        </w:rPr>
        <w:t>SEO, archive-linking and WordPress notes.</w:t>
      </w:r>
    </w:p>
    <w:p>
      <w:r>
        <w:t>Resource package: AK-L11_From-c-1800-to-the-End-of-the-Culture-System</w:t>
      </w:r>
    </w:p>
    <w:p>
      <w:r>
        <w:t>Source: PDF Low Res-0010 / 1800 to end of Culture System - Lecture I: from c. 1800 to the end of the Culture System.</w:t>
      </w:r>
    </w:p>
    <w:p>
      <w:pPr>
        <w:pStyle w:val="Heading2"/>
      </w:pPr>
      <w:r>
        <w:t>Recommended Public Title</w:t>
      </w:r>
    </w:p>
    <w:p>
      <w:r>
        <w:t>From c. 1800 to the End of the Culture System</w:t>
      </w:r>
    </w:p>
    <w:p>
      <w:pPr>
        <w:pStyle w:val="Heading2"/>
      </w:pPr>
      <w:r>
        <w:t>Alternative Title</w:t>
      </w:r>
    </w:p>
    <w:p>
      <w:r>
        <w:t>Colonial Reform, Java War and Forced Cultivation</w:t>
      </w:r>
    </w:p>
    <w:p>
      <w:pPr>
        <w:pStyle w:val="Heading2"/>
      </w:pPr>
      <w:r>
        <w:t>Suggested Slug</w:t>
      </w:r>
    </w:p>
    <w:p>
      <w:r>
        <w:t>/from-1800-to-the-end-of-the-culture-system/</w:t>
      </w:r>
    </w:p>
    <w:p>
      <w:pPr>
        <w:pStyle w:val="Heading2"/>
      </w:pPr>
      <w:r>
        <w:t>Archive Package Number</w:t>
      </w:r>
    </w:p>
    <w:p>
      <w:r>
        <w:t>AK-L11</w:t>
      </w:r>
    </w:p>
    <w:p>
      <w:pPr>
        <w:pStyle w:val="Heading2"/>
      </w:pPr>
      <w:r>
        <w:t>Standard File Names</w:t>
      </w:r>
    </w:p>
    <w:p>
      <w:pPr>
        <w:ind w:left="360" w:hanging="216"/>
      </w:pPr>
      <w:r>
        <w:rPr>
          <w:b/>
        </w:rPr>
        <w:t xml:space="preserve">• </w:t>
      </w:r>
      <w:r>
        <w:t>AK-L11_From-c-1800-to-the-End-of-the-Culture-System_Original-Lecture-Notes.pdf</w:t>
      </w:r>
    </w:p>
    <w:p>
      <w:pPr>
        <w:ind w:left="360" w:hanging="216"/>
      </w:pPr>
      <w:r>
        <w:rPr>
          <w:b/>
        </w:rPr>
        <w:t xml:space="preserve">• </w:t>
      </w:r>
      <w:r>
        <w:t>AK-L11_From-c-1800-to-the-End-of-the-Culture-System_Clean-Transcript.docx</w:t>
      </w:r>
    </w:p>
    <w:p>
      <w:pPr>
        <w:ind w:left="360" w:hanging="216"/>
      </w:pPr>
      <w:r>
        <w:rPr>
          <w:b/>
        </w:rPr>
        <w:t xml:space="preserve">• </w:t>
      </w:r>
      <w:r>
        <w:t>AK-L11_From-c-1800-to-the-End-of-the-Culture-System_Lecture-Synopsis.docx</w:t>
      </w:r>
    </w:p>
    <w:p>
      <w:pPr>
        <w:ind w:left="360" w:hanging="216"/>
      </w:pPr>
      <w:r>
        <w:rPr>
          <w:b/>
        </w:rPr>
        <w:t xml:space="preserve">• </w:t>
      </w:r>
      <w:r>
        <w:t>AK-L11_From-c-1800-to-the-End-of-the-Culture-System_Further-Reading.docx</w:t>
      </w:r>
    </w:p>
    <w:p>
      <w:pPr>
        <w:ind w:left="360" w:hanging="216"/>
      </w:pPr>
      <w:r>
        <w:rPr>
          <w:b/>
        </w:rPr>
        <w:t xml:space="preserve">• </w:t>
      </w:r>
      <w:r>
        <w:t>AK-L11_From-c-1800-to-the-End-of-the-Culture-System_Web-Publishing-Notes.docx</w:t>
      </w:r>
    </w:p>
    <w:p>
      <w:pPr>
        <w:pStyle w:val="Heading2"/>
      </w:pPr>
      <w:r>
        <w:t>SEO Title</w:t>
      </w:r>
    </w:p>
    <w:p>
      <w:r>
        <w:t>From 1800 to the End of the Culture System | Ann Kumar Archive</w:t>
      </w:r>
    </w:p>
    <w:p>
      <w:pPr>
        <w:pStyle w:val="Heading2"/>
      </w:pPr>
      <w:r>
        <w:t>Meta Description</w:t>
      </w:r>
    </w:p>
    <w:p>
      <w:r>
        <w:t>Professor Ann Kumar’s lecture on Daendels, Raffles, the Java War, Van den Bosch and the Dutch Culture System in nineteenth-century Java.</w:t>
      </w:r>
    </w:p>
    <w:p>
      <w:pPr>
        <w:pStyle w:val="Heading2"/>
      </w:pPr>
      <w:r>
        <w:t>Suggested Excerpt</w:t>
      </w:r>
    </w:p>
    <w:p>
      <w:r>
        <w:t>This lecture traces Dutch colonial rule from the dissolution of the VOC through Daendels, Raffles, the Java War and Van den Bosch’s Culture System, showing how reform, coercion and fiscal crisis reshaped Java.</w:t>
      </w:r>
    </w:p>
    <w:p>
      <w:pPr>
        <w:pStyle w:val="Heading2"/>
      </w:pPr>
      <w:r>
        <w:t>Suggested Resource Button Order</w:t>
      </w:r>
    </w:p>
    <w:p>
      <w:pPr>
        <w:ind w:left="360" w:hanging="216"/>
      </w:pPr>
      <w:r>
        <w:rPr>
          <w:b/>
        </w:rPr>
        <w:t xml:space="preserve">• </w:t>
      </w:r>
      <w:r>
        <w:t>Lecture Synopsis</w:t>
      </w:r>
    </w:p>
    <w:p>
      <w:pPr>
        <w:ind w:left="360" w:hanging="216"/>
      </w:pPr>
      <w:r>
        <w:rPr>
          <w:b/>
        </w:rPr>
        <w:t xml:space="preserve">• </w:t>
      </w:r>
      <w:r>
        <w:t>Clean Transcript</w:t>
      </w:r>
    </w:p>
    <w:p>
      <w:pPr>
        <w:ind w:left="360" w:hanging="216"/>
      </w:pPr>
      <w:r>
        <w:rPr>
          <w:b/>
        </w:rPr>
        <w:t xml:space="preserve">• </w:t>
      </w:r>
      <w:r>
        <w:t>Original Lecture Notes</w:t>
      </w:r>
    </w:p>
    <w:p>
      <w:pPr>
        <w:ind w:left="360" w:hanging="216"/>
      </w:pPr>
      <w:r>
        <w:rPr>
          <w:b/>
        </w:rPr>
        <w:t xml:space="preserve">• </w:t>
      </w:r>
      <w:r>
        <w:t>Further Reading</w:t>
      </w:r>
    </w:p>
    <w:p>
      <w:pPr>
        <w:pStyle w:val="Heading2"/>
      </w:pPr>
      <w:r>
        <w:t>Suggested Alt Text for Lecture Graphics</w:t>
      </w:r>
    </w:p>
    <w:p>
      <w:pPr>
        <w:ind w:left="360" w:hanging="216"/>
      </w:pPr>
      <w:r>
        <w:rPr>
          <w:b/>
        </w:rPr>
        <w:t xml:space="preserve">• </w:t>
      </w:r>
      <w:r>
        <w:t>Diagram showing Dutch colonial reform from Daendels and Raffles to Van den Bosch and the Culture System.</w:t>
      </w:r>
    </w:p>
    <w:p>
      <w:pPr>
        <w:ind w:left="360" w:hanging="216"/>
      </w:pPr>
      <w:r>
        <w:rPr>
          <w:b/>
        </w:rPr>
        <w:t xml:space="preserve">• </w:t>
      </w:r>
      <w:r>
        <w:t>Map of Java showing Batavia, Priangan, Yogyakarta, Surakarta and regions associated with the Java War and forced cultivation.</w:t>
      </w:r>
    </w:p>
    <w:p>
      <w:pPr>
        <w:ind w:left="360" w:hanging="216"/>
      </w:pPr>
      <w:r>
        <w:rPr>
          <w:b/>
        </w:rPr>
        <w:t xml:space="preserve">• </w:t>
      </w:r>
      <w:r>
        <w:t>Flowchart showing Javanese peasant labour moving through regents, Dutch officials and the NHM to Dutch colonial revenue.</w:t>
      </w:r>
    </w:p>
    <w:p>
      <w:pPr>
        <w:pStyle w:val="Heading2"/>
      </w:pPr>
      <w:r>
        <w:t>Archives Page Row Update</w:t>
      </w:r>
    </w:p>
    <w:p>
      <w:r>
        <w:t>Original: PDF | Transcript: DOCX | Summary: DOCX | Further Reading: DOCX</w:t>
      </w:r>
    </w:p>
    <w:p>
      <w:pPr>
        <w:pStyle w:val="Heading2"/>
      </w:pPr>
      <w:r>
        <w:t>Proofing Caveats</w:t>
      </w:r>
    </w:p>
    <w:p>
      <w:pPr>
        <w:ind w:left="360" w:hanging="216"/>
      </w:pPr>
      <w:r>
        <w:rPr>
          <w:b/>
        </w:rPr>
        <w:t xml:space="preserve">• </w:t>
      </w:r>
      <w:r>
        <w:t>Check spelling variants: Dipanagara/Diponegoro, Jogjakarta/Yogyakarta, Tjeribon/Cirebon and Priangan/Preanger.</w:t>
      </w:r>
    </w:p>
    <w:p>
      <w:pPr>
        <w:ind w:left="360" w:hanging="216"/>
      </w:pPr>
      <w:r>
        <w:rPr>
          <w:b/>
        </w:rPr>
        <w:t xml:space="preserve">• </w:t>
      </w:r>
      <w:r>
        <w:t>Verify financial figures, dates and quotation details against the original scan.</w:t>
      </w:r>
    </w:p>
    <w:p>
      <w:pPr>
        <w:ind w:left="360" w:hanging="216"/>
      </w:pPr>
      <w:r>
        <w:rPr>
          <w:b/>
        </w:rPr>
        <w:t xml:space="preserve">• </w:t>
      </w:r>
      <w:r>
        <w:t>Confirm whether the public page should keep this package as one lecture or split the Culture System section into AK-L12 as a breakout package.</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