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AK-L11: From c. 1800 to the End of the Culture System - Clean Transcript</w:t>
      </w:r>
    </w:p>
    <w:p>
      <w:pPr>
        <w:jc w:val="center"/>
      </w:pPr>
      <w:r>
        <w:rPr>
          <w:i/>
          <w:color w:val="4A5568"/>
          <w:sz w:val="22"/>
        </w:rPr>
        <w:t>Edited teaching transcript for Professor Ann Kumar’s lecture on colonial reform, Java War and the Cultuurstelsel.</w:t>
      </w:r>
    </w:p>
    <w:p>
      <w:r>
        <w:t>Resource package: AK-L11_From-c-1800-to-the-End-of-the-Culture-System</w:t>
      </w:r>
    </w:p>
    <w:p>
      <w:r>
        <w:t>Source: PDF Low Res-0010 / 1800 to end of Culture System - Lecture I: from c. 1800 to the end of the Culture System.</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regularises obvious OCR errors, expands some abbreviations and improves paragraphing for readability. It preserves Professor Kumar’s lecture sequence and argument while treating this as an edited teaching edition rather than a verbatim critical transcription.</w:t>
            </w:r>
          </w:p>
        </w:tc>
      </w:tr>
    </w:tbl>
    <w:p/>
    <w:p>
      <w:pPr>
        <w:pStyle w:val="Heading2"/>
      </w:pPr>
      <w:r>
        <w:t>Editorial Framing</w:t>
      </w:r>
    </w:p>
    <w:p>
      <w:r>
        <w:t>This transcript presents Professor Ann Kumar’s lecture on the Netherlands Indies from the dissolution of the Dutch East India Company in 1799 to the end of the Culture System. It follows the shift from Company rule to state colonial government, the reform efforts of Daendels and Raffles, the Java War, and the introduction and critique of the Cultuurstelsel.</w:t>
      </w:r>
    </w:p>
    <w:p>
      <w:r>
        <w:t>The lecture belongs to the Colonial Engine hub. It is a bridge between the eighteenth-century VOC material and the later lectures on the Liberal Period and the Ethical Policy.</w:t>
      </w:r>
    </w:p>
    <w:p>
      <w:pPr>
        <w:pStyle w:val="Heading2"/>
      </w:pPr>
      <w:r>
        <w:t>After the VOC: The Problem of Colonial Government</w:t>
      </w:r>
    </w:p>
    <w:p>
      <w:r>
        <w:t>The previous lecture reached the dissolution of the Dutch East India Company on 31 December 1799. Once the Dutch state had responsibility for the government of the East Indies, controversy broke out over how the colony should be governed.</w:t>
      </w:r>
    </w:p>
    <w:p>
      <w:r>
        <w:t>Liberal opinion in the Netherlands wanted direct administration and the abolition of contingencies and forced deliveries. These views were most clearly expressed by Dirk van Hogendorp, a former governor of one of the provinces of Java. Conservative opinion, represented by Nederburgh, defended compulsion on the grounds that Indonesians were allegedly lazy and had to be made to grow export products for their own good and for Dutch profit. For the first decade or more, the conservative position largely prevailed.</w:t>
      </w:r>
    </w:p>
    <w:p>
      <w:pPr>
        <w:pStyle w:val="Heading2"/>
      </w:pPr>
      <w:r>
        <w:t>Daendels and Napoleonic Reorganisation</w:t>
      </w:r>
    </w:p>
    <w:p>
      <w:r>
        <w:t>New forces from Europe soon produced change: Enlightenment ideas, the French Revolution, the wars that followed it, and the industrial power of England. The process began in 1808 when Herman Willem Daendels became Governor-General of the Dutch possessions in Indonesia after the Batavian Republic was replaced by a new monarchy under Louis Bonaparte.</w:t>
      </w:r>
    </w:p>
    <w:p>
      <w:r>
        <w:t>Daendels, Dutch by birth but a Napoleonic marshal by career, was given dictatorial powers to reorganise administration and strengthen Java militarily in the French interest. Known as the “Thundering Marshal”, he built barracks, hospitals, gun foundries, roads and ships. To finance these works he greatly increased forced coffee cultivation.</w:t>
      </w:r>
    </w:p>
    <w:p>
      <w:pPr>
        <w:pStyle w:val="Heading2"/>
      </w:pPr>
      <w:r>
        <w:t>Daendels and the Regents</w:t>
      </w:r>
    </w:p>
    <w:p>
      <w:r>
        <w:t>Daendels reorganised the governmental structure of Java. Javanese regents, whom Van Hogendorp had described as ignorant, idle and extortionate, were reduced to the status of civil servants, subordinate to Dutch officials. They still derived income from land and people rather than from proper salaries.</w:t>
      </w:r>
    </w:p>
    <w:p>
      <w:r>
        <w:t>Daendels also tried to suppress corruption among Dutch officials. His high-handed methods made many enemies among both Dutch officials and Javanese princes, and he was eventually recalled.</w:t>
      </w:r>
    </w:p>
    <w:p>
      <w:pPr>
        <w:pStyle w:val="Heading2"/>
      </w:pPr>
      <w:r>
        <w:t>The British Conquest and Raffles</w:t>
      </w:r>
    </w:p>
    <w:p>
      <w:r>
        <w:t>Daendels’ success in strengthening Java’s defences helped provoke British intervention, since Britain wished to spoil Napoleon’s plans for encircling British power. The British campaign was originally conceived as punitive: expel the enemy, destroy forts, capture ammunition and then leave the colony to native rulers.</w:t>
      </w:r>
    </w:p>
    <w:p>
      <w:r>
        <w:t>The situation developed differently. After Thomas Stamford Raffles became Lieutenant-Governor of the Dutch possessions in Indonesia, British control had to be asserted in places such as Palembang, where the sultan massacred the Dutch garrison and later refused to recognise British overlordship.</w:t>
      </w:r>
    </w:p>
    <w:p>
      <w:pPr>
        <w:pStyle w:val="Heading2"/>
      </w:pPr>
      <w:r>
        <w:t>Raffles and Direct Administration</w:t>
      </w:r>
    </w:p>
    <w:p>
      <w:r>
        <w:t>Raffles continued the trend towards direct administration begun by Daendels. He abolished or annexed the Sultanates of Banten and Cirebon, tightened control over the Javanese principalities of Yogyakarta and Surakarta, and approved Daendels’ measures against the old political authority of the regents.</w:t>
      </w:r>
    </w:p>
    <w:p>
      <w:r>
        <w:t>He went even further than Daendels, depriving regents of political, magisterial and revenue powers so that they were almost completely excluded from government and administration.</w:t>
      </w:r>
    </w:p>
    <w:p>
      <w:pPr>
        <w:pStyle w:val="Heading2"/>
      </w:pPr>
      <w:r>
        <w:t>The Land-Rent System</w:t>
      </w:r>
    </w:p>
    <w:p>
      <w:r>
        <w:t>Raffles’ most important innovation was a general land tax or land-rent system. It was intended to replace the older tribute system of contingencies and forced deliveries with a more modern taxation system, leaving agricultural production and commerce to private enterprise.</w:t>
      </w:r>
    </w:p>
    <w:p>
      <w:r>
        <w:t>Raffles declared the government to be the sole owner of the land. Javanese cultivators therefore became tenants paying land rent. The tax was levied on villages or desas rather than on individuals, and it was graded according to soil fertility, with the most fertile areas paying the highest proportion of yield.</w:t>
      </w:r>
    </w:p>
    <w:p>
      <w:pPr>
        <w:pStyle w:val="Heading2"/>
      </w:pPr>
      <w:r>
        <w:t>Failure in Practice</w:t>
      </w:r>
    </w:p>
    <w:p>
      <w:r>
        <w:t>Raffles hoped the land-rent system would increase government revenue and improve the condition of Javanese peasants. Neither objective was achieved at first. The problem was not necessarily the theory but the practical difficulty of implementation.</w:t>
      </w:r>
    </w:p>
    <w:p>
      <w:r>
        <w:t>A comprehensive land survey was needed, but lack of time and staff meant that it could not be completed. Arbitrary estimates were therefore made, and Raffles also inherited a bad financial situation from Daendels. To raise revenue he retained forced coffee cultivation in the Priangan and sold large stretches of coastal Java as private lands, both of which contradicted the spirit of his reforms.</w:t>
      </w:r>
    </w:p>
    <w:p>
      <w:pPr>
        <w:pStyle w:val="Heading2"/>
      </w:pPr>
      <w:r>
        <w:t>Raffles as Reforming Scholar</w:t>
      </w:r>
    </w:p>
    <w:p>
      <w:r>
        <w:t>Raffles’ activities were many-sided. As a disciple of Wilberforce, he took measures that reduced slavery, forbidding slave trading and the ancient institution of debt slavery. He was deeply interested in Javanese history and civilisation, and his period saw renewed activity in the Batavian Society of Arts and Sciences.</w:t>
      </w:r>
    </w:p>
    <w:p>
      <w:r>
        <w:t>Yet Raffles was not universally admired by his own countrymen. His administration failed to pay its way, and the East India Company recalled him from Java. Despite his recommendations, his successor John Fendall handed Java back to the Dutch in August 1816.</w:t>
      </w:r>
    </w:p>
    <w:p>
      <w:pPr>
        <w:pStyle w:val="Heading2"/>
      </w:pPr>
      <w:r>
        <w:t>The Restored Dutch Regime</w:t>
      </w:r>
    </w:p>
    <w:p>
      <w:r>
        <w:t>The restored Dutch regime retained Raffles’ land-rent system and continued to reduce regent influence, including by refusing automatic hereditary succession. Regents were to receive salaries, reducing opportunities for extortion, and Raffles’ measures against slavery were confirmed.</w:t>
      </w:r>
    </w:p>
    <w:p>
      <w:r>
        <w:t>However, forced coffee cultivation in the Priangan was maintained because the colony was still not financially self-supporting.</w:t>
      </w:r>
    </w:p>
    <w:p>
      <w:pPr>
        <w:pStyle w:val="Heading2"/>
      </w:pPr>
      <w:r>
        <w:t>The Java War, 1825-1830</w:t>
      </w:r>
    </w:p>
    <w:p>
      <w:r>
        <w:t>The situation changed dramatically with the outbreak of the Java War, which ravaged Java between 1825 and 1830. The chief rebel leader was Prince Dipanagara of Yogyakarta.</w:t>
      </w:r>
    </w:p>
    <w:p>
      <w:r>
        <w:t>Dipanagara’s rebellion was not simply a matter of personal disappointment over succession. The immediate cause was a Dutch road project that crossed part of his property where there was a sacred tomb. His autobiography shows the importance of a syncretic Islamic-Javanese religious vision: pesantren experience, mountain asceticism, visions of Sunan Kalijaga and the Ratu Adil, and a sense of divine mandate.</w:t>
      </w:r>
    </w:p>
    <w:p>
      <w:pPr>
        <w:pStyle w:val="Heading2"/>
      </w:pPr>
      <w:r>
        <w:t>Guerrilla War and Dutch Victory</w:t>
      </w:r>
    </w:p>
    <w:p>
      <w:r>
        <w:t>For five years there were no conventional pitched battles. Dipanagara and his allies used guerrilla tactics effectively, and the Dutch took some time to gain the upper hand. In 1829 his two chief allies surrendered. In 1830 Dipanagara agreed to negotiate and was treacherously arrested at the meeting.</w:t>
      </w:r>
    </w:p>
    <w:p>
      <w:r>
        <w:t>He was banished to Celebes and died there in 1855. Professor Kumar notes that his autobiography was written in exile and is a valuable insight into his motivation and worldview.</w:t>
      </w:r>
    </w:p>
    <w:p>
      <w:pPr>
        <w:pStyle w:val="Heading2"/>
      </w:pPr>
      <w:r>
        <w:t>Van den Bosch and the Culture System</w:t>
      </w:r>
    </w:p>
    <w:p>
      <w:r>
        <w:t>The Java War worsened the financial position of the Dutch colonial government. Johannes van den Bosch arrived as Governor-General in 1830 because he had previously succeeded in making the Dutch West Indies yield a profit.</w:t>
      </w:r>
    </w:p>
    <w:p>
      <w:r>
        <w:t>Van den Bosch rejected the reform ideas of Daendels and Raffles and introduced what became known as the Culture System, or Cultuurstelsel. The system required Javanese peasants to deliver specified quantities of export produce, or to provide the land and labour necessary to produce them. In substance, this returned to the old tribute system of contingencies and forced deliveries.</w:t>
      </w:r>
    </w:p>
    <w:p>
      <w:pPr>
        <w:pStyle w:val="Heading2"/>
      </w:pPr>
      <w:r>
        <w:t>Restoration of the Regents</w:t>
      </w:r>
    </w:p>
    <w:p>
      <w:r>
        <w:t>Van den Bosch also restored the position of the Javanese regents, believing that the unrest of the Java War was linked to the erosion of their authority. He recognised hereditary succession in the regencies and returned to the old system in which regents derived income from landholdings and rights to peasant labour rather than from fixed salaries.</w:t>
      </w:r>
    </w:p>
    <w:p>
      <w:r>
        <w:t>In this way the Culture System tied Dutch financial needs to indigenous aristocratic authority and village labour.</w:t>
      </w:r>
    </w:p>
    <w:p>
      <w:pPr>
        <w:pStyle w:val="Heading2"/>
      </w:pPr>
      <w:r>
        <w:t>Profits and Burdens</w:t>
      </w:r>
    </w:p>
    <w:p>
      <w:r>
        <w:t>The Culture System lasted for three to four decades and achieved what Van den Bosch had hoped: it made the colony pay and supplied an increasing proportion of the Dutch domestic budget. Coffee, sugar, indigo, tea, tobacco, pepper, cinnamon and cotton all flowed to the Netherlands, reviving Dutch shipping and helping Amsterdam become an entrepôt for tropical products.</w:t>
      </w:r>
    </w:p>
    <w:p>
      <w:r>
        <w:t>For the Javanese, however, the burdens could be severe. Peasants had to cultivate government export crops before their own rice. Although the official labour requirement was not meant to exceed sixty-six days a year, coffee alone could require more, and corvée labour for roads and other works continued. Professor Kumar notes that peasants could end up working much of the year for the government, contributing to famine in Central Java in 1848-50.</w:t>
      </w:r>
    </w:p>
    <w:p>
      <w:pPr>
        <w:pStyle w:val="Heading2"/>
      </w:pPr>
      <w:r>
        <w:t>Debate over the System</w:t>
      </w:r>
    </w:p>
    <w:p>
      <w:r>
        <w:t>Professor Kumar also notes that the picture of the Culture System was shaped by the liberals who later abolished it. Some historians pointed to population growth, increased rice cultivation and the introduction of export crops as evidence that the system was not simply disastrous in every respect.</w:t>
      </w:r>
    </w:p>
    <w:p>
      <w:r>
        <w:t>Nevertheless, the famines of the 1840s made a deep impact in the Netherlands, and from this point Dutch liberals began a long campaign against the Culture System.</w:t>
      </w:r>
    </w:p>
    <w:p>
      <w:pPr>
        <w:pStyle w:val="Heading2"/>
      </w:pPr>
      <w:r>
        <w:t>Liberal Critique and Max Havelaar</w:t>
      </w:r>
    </w:p>
    <w:p>
      <w:r>
        <w:t>The liberal movement included both humanitarian reformers who wanted a freer and more humane society for Javanese people, and economic liberals who wanted to open the colony to private enterprise rather than state monopoly.</w:t>
      </w:r>
    </w:p>
    <w:p>
      <w:r>
        <w:t>In 1860 the abolitionist movement gained momentum through two publications. The first was Multatuli’s novel Max Havelaar, based on the career of Eduard Douwes Dekker and exposing abuses under the Culture System, especially the Dutch use of regents to perform extortion on their behalf.</w:t>
      </w:r>
    </w:p>
    <w:p>
      <w:pPr>
        <w:pStyle w:val="Heading2"/>
      </w:pPr>
      <w:r>
        <w:t>Van der Putte and the Turn to Free Enterprise</w:t>
      </w:r>
    </w:p>
    <w:p>
      <w:r>
        <w:t>The second publication was Isaac van der Putte’s pamphlet The Regulation of Sugar Contracts in Java. Van der Putte argued that famine and oppression were not merely the result of natural disaster or local misgovernment: the primary cause was the Culture System itself, which he said was rooted in unrighteousness.</w:t>
      </w:r>
    </w:p>
    <w:p>
      <w:r>
        <w:t>Van der Putte believed that abolishing the system and liberating land and labour could still furnish the Netherlands with revenue through direct taxation. His views recalled Raffles’ ideas, and when Thorbecke’s Liberal government came to office in 1862, Van der Putte became Minister of Colonies. From 1863 to 1866 policy began to move towards free enterprise.</w:t>
      </w:r>
    </w:p>
    <w:p>
      <w:pPr>
        <w:pStyle w:val="Heading2"/>
      </w:pPr>
      <w:r>
        <w:t>Historical Significance</w:t>
      </w:r>
    </w:p>
    <w:p>
      <w:r>
        <w:t>The lecture shows the nineteenth-century colonial state taking shape through contested reform, financial pressure and coercive extraction. Daendels and Raffles both tried to rationalise government, but neither solved the colony’s fiscal problem. The Java War deepened the crisis, and Van den Bosch answered it by turning Java into an export-production machine.</w:t>
      </w:r>
    </w:p>
    <w:p>
      <w:r>
        <w:t>This package therefore explains the bridge from VOC rule to the Liberal Period: the Culture System created enormous Dutch profits, heavy Javanese burdens, and the moral-political critique that would shape colonial debate after 1860.</w:t>
      </w:r>
    </w:p>
    <w:p>
      <w:pPr>
        <w:pStyle w:val="Heading2"/>
      </w:pPr>
      <w:r>
        <w:t>Key Terms</w:t>
      </w:r>
    </w:p>
    <w:p>
      <w:r>
        <w:rPr>
          <w:b/>
        </w:rPr>
        <w:t xml:space="preserve">contingencies and forced deliveries: </w:t>
      </w:r>
      <w:r>
        <w:t>VOC-era systems of compulsory produce delivery that reformers sought to abolish and that the Culture System later revived in altered form.</w:t>
      </w:r>
    </w:p>
    <w:p>
      <w:r>
        <w:rPr>
          <w:b/>
        </w:rPr>
        <w:t xml:space="preserve">Daendels: </w:t>
      </w:r>
      <w:r>
        <w:t>Herman Willem Daendels, Governor-General from 1808, associated with Napoleonic administrative and military reorganisation in Java.</w:t>
      </w:r>
    </w:p>
    <w:p>
      <w:r>
        <w:rPr>
          <w:b/>
        </w:rPr>
        <w:t xml:space="preserve">Raffles: </w:t>
      </w:r>
      <w:r>
        <w:t>Thomas Stamford Raffles, British Lieutenant-Governor of Java, associated with direct administration, land-rent reform and antiquarian scholarship.</w:t>
      </w:r>
    </w:p>
    <w:p>
      <w:r>
        <w:rPr>
          <w:b/>
        </w:rPr>
        <w:t xml:space="preserve">land-rent system: </w:t>
      </w:r>
      <w:r>
        <w:t>Raffles’ system in which government ownership of land made cultivators tenants paying rent, levied through villages.</w:t>
      </w:r>
    </w:p>
    <w:p>
      <w:r>
        <w:rPr>
          <w:b/>
        </w:rPr>
        <w:t xml:space="preserve">desa: </w:t>
      </w:r>
      <w:r>
        <w:t>Village; the unit on which Raffles’ land rent was levied.</w:t>
      </w:r>
    </w:p>
    <w:p>
      <w:r>
        <w:rPr>
          <w:b/>
        </w:rPr>
        <w:t xml:space="preserve">private lands: </w:t>
      </w:r>
      <w:r>
        <w:t>Large areas sold to private owners, often contradicting the reform logic of the land-rent system.</w:t>
      </w:r>
    </w:p>
    <w:p>
      <w:r>
        <w:rPr>
          <w:b/>
        </w:rPr>
        <w:t xml:space="preserve">Dipanagara / Diponegoro: </w:t>
      </w:r>
      <w:r>
        <w:t>Javanese prince and leader of the Java War, 1825-1830.</w:t>
      </w:r>
    </w:p>
    <w:p>
      <w:r>
        <w:rPr>
          <w:b/>
        </w:rPr>
        <w:t xml:space="preserve">Ratu Adil: </w:t>
      </w:r>
      <w:r>
        <w:t>The Just King, a messianic figure in Javanese political and religious expectation.</w:t>
      </w:r>
    </w:p>
    <w:p>
      <w:r>
        <w:rPr>
          <w:b/>
        </w:rPr>
        <w:t xml:space="preserve">Cultuurstelsel / Culture System: </w:t>
      </w:r>
      <w:r>
        <w:t>The system introduced by Van den Bosch requiring Javanese land and labour for government export crops.</w:t>
      </w:r>
    </w:p>
    <w:p>
      <w:r>
        <w:rPr>
          <w:b/>
        </w:rPr>
        <w:t xml:space="preserve">NHM: </w:t>
      </w:r>
      <w:r>
        <w:t>Nederlandsche Handelsmaatschappij, the semi-official Dutch Trading Company involved in exporting products under the Culture System.</w:t>
      </w:r>
    </w:p>
    <w:p>
      <w:r>
        <w:rPr>
          <w:b/>
        </w:rPr>
        <w:t xml:space="preserve">corvee: </w:t>
      </w:r>
      <w:r>
        <w:t>Compulsory labour for public works and colonial requirements.</w:t>
      </w:r>
    </w:p>
    <w:p>
      <w:r>
        <w:rPr>
          <w:b/>
        </w:rPr>
        <w:t xml:space="preserve">Multatuli: </w:t>
      </w:r>
      <w:r>
        <w:t>Pseudonym of Eduard Douwes Dekker, author of Max Havelaar.</w:t>
      </w:r>
    </w:p>
    <w:p>
      <w:r>
        <w:rPr>
          <w:b/>
        </w:rPr>
        <w:t xml:space="preserve">Isaac van der Putte: </w:t>
      </w:r>
      <w:r>
        <w:t>Critic of the Culture System and later Minister of Colonies under the Dutch Liberals.</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