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AK-L10: Changes in the Nature of the VOC Empire - Web Publishing Notes</w:t>
      </w:r>
    </w:p>
    <w:p>
      <w:pPr>
        <w:jc w:val="center"/>
      </w:pPr>
      <w:r>
        <w:rPr>
          <w:i/>
          <w:color w:val="4A5568"/>
          <w:sz w:val="22"/>
        </w:rPr>
        <w:t>SEO, archive-linking and WordPress notes.</w:t>
      </w:r>
    </w:p>
    <w:p>
      <w:r>
        <w:t>Resource package: AK-L10_Changes-in-the-Nature-of-the-VOC-Empire</w:t>
      </w:r>
    </w:p>
    <w:p>
      <w:r>
        <w:t>Source: PDF Low Res-0005 / AK Lectures pdf 05 - Dutch and Indonesians in the 18th Century: Changes in the Nature of the VOC "Empire".</w:t>
      </w:r>
    </w:p>
    <w:p>
      <w:pPr>
        <w:pStyle w:val="Heading2"/>
      </w:pPr>
      <w:r>
        <w:t>Recommended Public Title</w:t>
      </w:r>
    </w:p>
    <w:p>
      <w:r>
        <w:t>Changes in the Nature of the VOC “Empire”</w:t>
      </w:r>
    </w:p>
    <w:p>
      <w:pPr>
        <w:pStyle w:val="Heading2"/>
      </w:pPr>
      <w:r>
        <w:t>Alternative Title</w:t>
      </w:r>
    </w:p>
    <w:p>
      <w:r>
        <w:t>Dutch and Indonesians in the Eighteenth Century</w:t>
      </w:r>
    </w:p>
    <w:p>
      <w:pPr>
        <w:pStyle w:val="Heading2"/>
      </w:pPr>
      <w:r>
        <w:t>Suggested Slug</w:t>
      </w:r>
    </w:p>
    <w:p>
      <w:r>
        <w:t>/changes-in-the-nature-of-the-voc-empire/</w:t>
      </w:r>
    </w:p>
    <w:p>
      <w:pPr>
        <w:pStyle w:val="Heading2"/>
      </w:pPr>
      <w:r>
        <w:t>Archive Package Number</w:t>
      </w:r>
    </w:p>
    <w:p>
      <w:r>
        <w:t>AK-L10</w:t>
      </w:r>
    </w:p>
    <w:p>
      <w:pPr>
        <w:pStyle w:val="Heading2"/>
      </w:pPr>
      <w:r>
        <w:t>Standard File Names</w:t>
      </w:r>
    </w:p>
    <w:p>
      <w:pPr>
        <w:ind w:left="360" w:hanging="216"/>
      </w:pPr>
      <w:r>
        <w:rPr>
          <w:b/>
        </w:rPr>
        <w:t xml:space="preserve">• </w:t>
      </w:r>
      <w:r>
        <w:t>AK-L10_Changes-in-the-Nature-of-the-VOC-Empire_Original-Lecture-Notes.pdf</w:t>
      </w:r>
    </w:p>
    <w:p>
      <w:pPr>
        <w:ind w:left="360" w:hanging="216"/>
      </w:pPr>
      <w:r>
        <w:rPr>
          <w:b/>
        </w:rPr>
        <w:t xml:space="preserve">• </w:t>
      </w:r>
      <w:r>
        <w:t>AK-L10_Changes-in-the-Nature-of-the-VOC-Empire_Clean-Transcript.docx</w:t>
      </w:r>
    </w:p>
    <w:p>
      <w:pPr>
        <w:ind w:left="360" w:hanging="216"/>
      </w:pPr>
      <w:r>
        <w:rPr>
          <w:b/>
        </w:rPr>
        <w:t xml:space="preserve">• </w:t>
      </w:r>
      <w:r>
        <w:t>AK-L10_Changes-in-the-Nature-of-the-VOC-Empire_Lecture-Synopsis.docx</w:t>
      </w:r>
    </w:p>
    <w:p>
      <w:pPr>
        <w:ind w:left="360" w:hanging="216"/>
      </w:pPr>
      <w:r>
        <w:rPr>
          <w:b/>
        </w:rPr>
        <w:t xml:space="preserve">• </w:t>
      </w:r>
      <w:r>
        <w:t>AK-L10_Changes-in-the-Nature-of-the-VOC-Empire_Further-Reading.docx</w:t>
      </w:r>
    </w:p>
    <w:p>
      <w:pPr>
        <w:ind w:left="360" w:hanging="216"/>
      </w:pPr>
      <w:r>
        <w:rPr>
          <w:b/>
        </w:rPr>
        <w:t xml:space="preserve">• </w:t>
      </w:r>
      <w:r>
        <w:t>AK-L10_Changes-in-the-Nature-of-the-VOC-Empire_Web-Publishing-Notes.docx</w:t>
      </w:r>
    </w:p>
    <w:p>
      <w:pPr>
        <w:pStyle w:val="Heading2"/>
      </w:pPr>
      <w:r>
        <w:t>SEO Title</w:t>
      </w:r>
    </w:p>
    <w:p>
      <w:r>
        <w:t>Changes in the Nature of the VOC Empire | Professor Ann Kumar Archive</w:t>
      </w:r>
    </w:p>
    <w:p>
      <w:pPr>
        <w:pStyle w:val="Heading2"/>
      </w:pPr>
      <w:r>
        <w:t>Meta Description</w:t>
      </w:r>
    </w:p>
    <w:p>
      <w:r>
        <w:t>Lecture resource on the eighteenth-century VOC: Java-centred extraction, forced deliveries, coffee, Javanese succession wars, the Chinese crisis, Mataram’s partition and the Company’s dissolution.</w:t>
      </w:r>
    </w:p>
    <w:p>
      <w:pPr>
        <w:pStyle w:val="Heading2"/>
      </w:pPr>
      <w:r>
        <w:t>Suggested Alt Text for Graphic</w:t>
      </w:r>
    </w:p>
    <w:p>
      <w:r>
        <w:t>Infographic showing the eighteenth-century VOC shifting from a dispersed Asian trade web to a Java-centred extraction system of coffee, teak, forced deliveries, regents, warfare and debt.</w:t>
      </w:r>
    </w:p>
    <w:p>
      <w:pPr>
        <w:pStyle w:val="Heading2"/>
      </w:pPr>
      <w:r>
        <w:t>Archive Page Row Update</w:t>
      </w:r>
    </w:p>
    <w:p>
      <w:r>
        <w:t>In the Archives table, update the row for Changes in the Nature of the VOC “Empire” from Pending links to the uploaded Media Library URLs for Original Lecture Notes, Clean Transcript, Lecture Synopsis and Further Reading.</w:t>
      </w:r>
    </w:p>
    <w:p>
      <w:pPr>
        <w:pStyle w:val="Heading2"/>
      </w:pPr>
      <w:r>
        <w:t>Lecture Page Resource Button Order</w:t>
      </w:r>
    </w:p>
    <w:p>
      <w:pPr>
        <w:ind w:left="360" w:hanging="216"/>
      </w:pPr>
      <w:r>
        <w:rPr>
          <w:b/>
        </w:rPr>
        <w:t xml:space="preserve">• </w:t>
      </w:r>
      <w:r>
        <w:t>Lecture Synopsis</w:t>
      </w:r>
    </w:p>
    <w:p>
      <w:pPr>
        <w:ind w:left="360" w:hanging="216"/>
      </w:pPr>
      <w:r>
        <w:rPr>
          <w:b/>
        </w:rPr>
        <w:t xml:space="preserve">• </w:t>
      </w:r>
      <w:r>
        <w:t>Clean Transcript</w:t>
      </w:r>
    </w:p>
    <w:p>
      <w:pPr>
        <w:ind w:left="360" w:hanging="216"/>
      </w:pPr>
      <w:r>
        <w:rPr>
          <w:b/>
        </w:rPr>
        <w:t xml:space="preserve">• </w:t>
      </w:r>
      <w:r>
        <w:t>Original Lecture Notes</w:t>
      </w:r>
    </w:p>
    <w:p>
      <w:pPr>
        <w:ind w:left="360" w:hanging="216"/>
      </w:pPr>
      <w:r>
        <w:rPr>
          <w:b/>
        </w:rPr>
        <w:t xml:space="preserve">• </w:t>
      </w:r>
      <w:r>
        <w:t>Further Reading</w:t>
      </w:r>
    </w:p>
    <w:p>
      <w:pPr>
        <w:pStyle w:val="Heading2"/>
      </w:pPr>
      <w:r>
        <w:t>Editorial Caution</w:t>
      </w:r>
    </w:p>
    <w:p>
      <w:r>
        <w:t>Final scholarly proofing should check dates, monetary figures, names of Javanese rulers, Dutch officials, and older spellings such as Preanger/Priangan, Mangkunegaran/Mangkunegaraan, Giyanti/Gianti, Oosthoek and Balambangan against the original scan.</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