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AK-L10: Changes in the Nature of the VOC Empire - Lecture Synopsis</w:t>
      </w:r>
    </w:p>
    <w:p>
      <w:pPr>
        <w:jc w:val="center"/>
      </w:pPr>
      <w:r>
        <w:rPr>
          <w:i/>
          <w:color w:val="4A5568"/>
          <w:sz w:val="22"/>
        </w:rPr>
        <w:t>Brief teaching summary for students and archive visitors.</w:t>
      </w:r>
    </w:p>
    <w:p>
      <w:r>
        <w:t>Resource package: AK-L10_Changes-in-the-Nature-of-the-VOC-Empire</w:t>
      </w:r>
    </w:p>
    <w:p>
      <w:r>
        <w:t>Source: PDF Low Res-0005 / AK Lectures pdf 05 - Dutch and Indonesians in the 18th Century: Changes in the Nature of the VOC "Empire".</w:t>
      </w:r>
    </w:p>
    <w:p>
      <w:pPr>
        <w:pStyle w:val="Heading2"/>
      </w:pPr>
      <w:r>
        <w:t>Purpose of the Lecture Package</w:t>
      </w:r>
    </w:p>
    <w:p>
      <w:r>
        <w:t>This package explains how the VOC changed during the eighteenth century. The Company moved away from Coen’s dispersed inter-Asian trade network and towards a more Java-centred system based on forced produce, regent mediation, dynastic intervention and territorial control.</w:t>
      </w:r>
    </w:p>
    <w:p>
      <w:pPr>
        <w:pStyle w:val="Heading2"/>
      </w:pPr>
      <w:r>
        <w:t>Core Argument</w:t>
      </w:r>
    </w:p>
    <w:p>
      <w:r>
        <w:t>Professor Kumar’s central point is that the VOC’s “empire” changed in character before the formal colonial state emerged. Its Asian trading web became financially and militarily unsustainable. The Company increasingly relied on Java, where extraction through bupati, forced deliveries, contingencies and coffee cultivation laid the foundations of later colonial administration.</w:t>
      </w:r>
    </w:p>
    <w:p>
      <w:pPr>
        <w:pStyle w:val="Heading2"/>
      </w:pPr>
      <w:r>
        <w:t>Key Points</w:t>
      </w:r>
    </w:p>
    <w:p>
      <w:r>
        <w:rPr>
          <w:b/>
        </w:rPr>
        <w:t xml:space="preserve">Coen’s vision failed: </w:t>
      </w:r>
      <w:r>
        <w:t>A far-flung web of forts and factories could not secure Asian trade without costly landward conquest and harbour control.</w:t>
      </w:r>
    </w:p>
    <w:p>
      <w:r>
        <w:rPr>
          <w:b/>
        </w:rPr>
        <w:t xml:space="preserve">Monopoly undermined markets: </w:t>
      </w:r>
      <w:r>
        <w:t>VOC monopoly reduced local profits and purchasing power, weakening the two-way trade the Company wanted.</w:t>
      </w:r>
    </w:p>
    <w:p>
      <w:r>
        <w:rPr>
          <w:b/>
        </w:rPr>
        <w:t xml:space="preserve">Internal corruption mattered: </w:t>
      </w:r>
      <w:r>
        <w:t>Private trading and siphoning of goods by Company servants reflected the incentives of low pay, no pensions and overseas opportunity.</w:t>
      </w:r>
    </w:p>
    <w:p>
      <w:r>
        <w:rPr>
          <w:b/>
        </w:rPr>
        <w:t xml:space="preserve">Java became central: </w:t>
      </w:r>
      <w:r>
        <w:t>The VOC increasingly depended on Java for teak, coffee and other export produce.</w:t>
      </w:r>
    </w:p>
    <w:p>
      <w:r>
        <w:rPr>
          <w:b/>
        </w:rPr>
        <w:t xml:space="preserve">Regents mediated extraction: </w:t>
      </w:r>
      <w:r>
        <w:t>Bupati delivered crops through forced deliveries and contingencies, becoming crucial instruments of colonial extraction.</w:t>
      </w:r>
    </w:p>
    <w:p>
      <w:r>
        <w:rPr>
          <w:b/>
        </w:rPr>
        <w:t xml:space="preserve">Coffee-sergeants foreshadowed bureaucracy: </w:t>
      </w:r>
      <w:r>
        <w:t>Overseers monitoring cultivation and regents mark the humble beginnings of later Dutch colonial administration.</w:t>
      </w:r>
    </w:p>
    <w:p>
      <w:r>
        <w:rPr>
          <w:b/>
        </w:rPr>
        <w:t xml:space="preserve">Warfare dominated Java: </w:t>
      </w:r>
      <w:r>
        <w:t>The Javanese wars of succession, anti-Dutch rebellions and VOC interventions consumed much of the eighteenth century.</w:t>
      </w:r>
    </w:p>
    <w:p>
      <w:r>
        <w:rPr>
          <w:b/>
        </w:rPr>
        <w:t xml:space="preserve">The 1740 Chinese crisis reshaped Java: </w:t>
      </w:r>
      <w:r>
        <w:t>Violence against Batavia’s Chinese community spread into coastal and inland rebellion, drawing Mataram into wider war.</w:t>
      </w:r>
    </w:p>
    <w:p>
      <w:r>
        <w:rPr>
          <w:b/>
        </w:rPr>
        <w:t xml:space="preserve">Mataram was partitioned: </w:t>
      </w:r>
      <w:r>
        <w:t>The Treaty of Giyanti in 1755 and the creation of the Mangkunegaran in 1757 fragmented Javanese royal power under VOC sovereignty.</w:t>
      </w:r>
    </w:p>
    <w:p>
      <w:r>
        <w:rPr>
          <w:b/>
        </w:rPr>
        <w:t xml:space="preserve">The VOC collapsed: </w:t>
      </w:r>
      <w:r>
        <w:t>By the late eighteenth century the Company was overextended, financially burdened and vulnerable to European wars and political revolution.</w:t>
      </w:r>
    </w:p>
    <w:p>
      <w:pPr>
        <w:pStyle w:val="Heading2"/>
      </w:pPr>
      <w:r>
        <w:t>Why This Package Matters</w:t>
      </w:r>
    </w:p>
    <w:p>
      <w:r>
        <w:t>This lecture is a hinge between the seventeenth-century VOC strategy pages and the nineteenth-century colonial state. It shows how Company practices in Java anticipated the Culture System and the deeper administrative machinery of Dutch rule.</w:t>
      </w:r>
    </w:p>
    <w:p>
      <w:pPr>
        <w:pStyle w:val="Heading2"/>
      </w:pPr>
      <w:r>
        <w:t>Suggested Graphics</w:t>
      </w:r>
    </w:p>
    <w:p>
      <w:pPr>
        <w:ind w:left="360" w:hanging="216"/>
      </w:pPr>
      <w:r>
        <w:rPr>
          <w:b/>
        </w:rPr>
        <w:t xml:space="preserve">• </w:t>
      </w:r>
      <w:r>
        <w:t>Infographic: “From Trade Web to Java Extraction Machine” - forts, losses, forced deliveries, regents, coffee and war.</w:t>
      </w:r>
    </w:p>
    <w:p>
      <w:pPr>
        <w:ind w:left="360" w:hanging="216"/>
      </w:pPr>
      <w:r>
        <w:rPr>
          <w:b/>
        </w:rPr>
        <w:t xml:space="preserve">• </w:t>
      </w:r>
      <w:r>
        <w:t>Map: Java in the eighteenth century showing Batavia, Preanger, Surakarta, Yogyakarta, Madura, Banten, Balambangan and the north coast.</w:t>
      </w:r>
    </w:p>
    <w:p>
      <w:pPr>
        <w:ind w:left="360" w:hanging="216"/>
      </w:pPr>
      <w:r>
        <w:rPr>
          <w:b/>
        </w:rPr>
        <w:t xml:space="preserve">• </w:t>
      </w:r>
      <w:r>
        <w:t>Flowchart: regents, coffee-sergeants, cultivators and the movement of coffee/teak to VOC export channels.</w:t>
      </w:r>
    </w:p>
    <w:p>
      <w:pPr>
        <w:ind w:left="360" w:hanging="216"/>
      </w:pPr>
      <w:r>
        <w:rPr>
          <w:b/>
        </w:rPr>
        <w:t xml:space="preserve">• </w:t>
      </w:r>
      <w:r>
        <w:t>Timeline: 1704 succession war, 1740 Chinese crisis, 1755 Giyanti, 1757 Mangkunegaran, 1777 Oosthoek, 1799 VOC dissolution.</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