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AK-L10: Changes in the Nature of the VOC Empire - Clean Transcript</w:t>
      </w:r>
    </w:p>
    <w:p>
      <w:pPr>
        <w:jc w:val="center"/>
      </w:pPr>
      <w:r>
        <w:rPr>
          <w:i/>
          <w:color w:val="4A5568"/>
          <w:sz w:val="22"/>
        </w:rPr>
        <w:t>Edited teaching transcript for Professor Ann Kumar’s lecture on Dutch and Indonesians in the eighteenth century.</w:t>
      </w:r>
    </w:p>
    <w:p>
      <w:r>
        <w:t>Resource package: AK-L10_Changes-in-the-Nature-of-the-VOC-Empire</w:t>
      </w:r>
    </w:p>
    <w:p>
      <w:r>
        <w:t>Source: PDF Low Res-0005 / AK Lectures pdf 05 - Dutch and Indonesians in the 18th Century: Changes in the Nature of the VOC "Empire".</w:t>
      </w:r>
    </w:p>
    <w:tbl>
      <w:tblPr>
        <w:tblW w:type="auto" w:w="0"/>
        <w:jc w:val="center"/>
        <w:tblLook w:firstColumn="1" w:firstRow="1" w:lastColumn="0" w:lastRow="0" w:noHBand="0" w:noVBand="1" w:val="04A0"/>
      </w:tblPr>
      <w:tblGrid>
        <w:gridCol w:w="9936"/>
      </w:tblGrid>
      <w:tr>
        <w:tc>
          <w:tcPr>
            <w:tcW w:type="dxa" w:w="9936"/>
            <w:shd w:fill="F5F0E6"/>
            <w:vAlign w:val="top"/>
          </w:tcPr>
          <w:p>
            <w:r>
              <w:rPr>
                <w:b/>
                <w:color w:val="1B3A5C"/>
                <w:sz w:val="20"/>
              </w:rPr>
              <w:t>Editorial Note</w:t>
            </w:r>
          </w:p>
          <w:p>
            <w:pPr>
              <w:spacing w:after="80"/>
            </w:pPr>
            <w:r>
              <w:rPr>
                <w:sz w:val="18"/>
              </w:rPr>
              <w:t>This clean transcript regularises obvious OCR errors, expands some abbreviations and improves paragraphing for readability. It preserves Professor Kumar’s lecture sequence and argument while treating this as an edited teaching edition rather than a verbatim critical transcription.</w:t>
            </w:r>
          </w:p>
        </w:tc>
      </w:tr>
    </w:tbl>
    <w:p/>
    <w:p>
      <w:pPr>
        <w:pStyle w:val="Heading2"/>
      </w:pPr>
      <w:r>
        <w:t>Editorial Framing</w:t>
      </w:r>
    </w:p>
    <w:p>
      <w:r>
        <w:t>This transcript presents Professor Ann Kumar’s lecture on Dutch and Indonesians in the eighteenth century, focused on changes in the nature of the VOC “empire.” It follows the Company’s movement away from Coen’s far-flung Asian trade-web and towards a Java-centred system of extraction, warfare and political restructuring.</w:t>
      </w:r>
    </w:p>
    <w:p>
      <w:r>
        <w:t>The lecture belongs to the Colonial Engine hub. It is also a bridge between the earlier seventeenth-century VOC strategy material and the later lectures on the nineteenth-century colonial state, the Culture System and the Liberal Period.</w:t>
      </w:r>
    </w:p>
    <w:p>
      <w:pPr>
        <w:pStyle w:val="Heading2"/>
      </w:pPr>
      <w:r>
        <w:t>Coen’s Vision and its Limits</w:t>
      </w:r>
    </w:p>
    <w:p>
      <w:r>
        <w:t>Professor Kumar begins by referring back to Coen’s idea of a far-flung web that would catch the whole trade of Asia in its mesh. In the seventeenth century this meant widely dispersed Dutch factories and forts, often established and maintained by military campaigns throughout Southeast Asia.</w:t>
      </w:r>
    </w:p>
    <w:p>
      <w:r>
        <w:t>By the eighteenth century, however, this vision had proved unviable. To cut out rival sea traders, whether European or Asian, it was not enough to hold isolated posts. The VOC increasingly had to eradicate land and harbour refuges, which meant conquering or subjugating one sultanate or principality after another. These wars were costly, and there was a practical limit to how much territory the Company could hold.</w:t>
      </w:r>
    </w:p>
    <w:p>
      <w:pPr>
        <w:pStyle w:val="Heading2"/>
      </w:pPr>
      <w:r>
        <w:t>Loss-Making Posts and Monopoly Failure</w:t>
      </w:r>
    </w:p>
    <w:p>
      <w:r>
        <w:t>Many VOC posts turned out to operate at a loss. Professor Kumar notes Japan as one example. One factor was the Company’s own monopoly policy. By cutting down the profits available to Asian inhabitants in its territories, the VOC also reduced their buying power. People who could not profit from trade could not purchase the European, west Asian or east Asian goods that the VOC hoped to sell in a two-way commercial system.</w:t>
      </w:r>
    </w:p>
    <w:p>
      <w:r>
        <w:t>The Company was also weakened by malpractice among its own servants: private trading, siphoning off goods, and other forms of corruption. Professor Kumar places this in the context of low salaries, no pensions, and the expectation that men did not go to the East simply to return as poor as when they left.</w:t>
      </w:r>
    </w:p>
    <w:p>
      <w:pPr>
        <w:pStyle w:val="Heading2"/>
      </w:pPr>
      <w:r>
        <w:t>Financial Decline and Concealed Losses</w:t>
      </w:r>
    </w:p>
    <w:p>
      <w:r>
        <w:t>In 1696 the VOC still showed a profit, but by 1725 a period of losses had begun. Professor Kumar notes that these losses reached enormous proportions by the later eighteenth century. To conceal this situation from the Dutch public, the regular dividend continued to be paid, with the gap made up from loans.</w:t>
      </w:r>
    </w:p>
    <w:p>
      <w:r>
        <w:t>This is an important point in the lecture’s logic. The VOC was not simply a triumphant commercial power expanding smoothly across Asia. It was a financially strained corporation whose overseas violence, monopoly practices and administrative corruption were undermining its own commercial foundation.</w:t>
      </w:r>
    </w:p>
    <w:p>
      <w:pPr>
        <w:pStyle w:val="Heading2"/>
      </w:pPr>
      <w:r>
        <w:t>The Turn to Java</w:t>
      </w:r>
    </w:p>
    <w:p>
      <w:r>
        <w:t>The lack of success in international trade made the VOC turn towards a different sort of operation, one centred mainly on Java, where its principal base was situated. The Company increasingly depended on extracting export produce from Java.</w:t>
      </w:r>
    </w:p>
    <w:p>
      <w:r>
        <w:t>The products included teak, since Java still had extensive teak forests, and new crops introduced by the VOC. The most important of these was coffee, planted especially in the hilly Preanger regions of West Java.</w:t>
      </w:r>
    </w:p>
    <w:p>
      <w:pPr>
        <w:pStyle w:val="Heading2"/>
      </w:pPr>
      <w:r>
        <w:t>Forced Deliveries and the Regents</w:t>
      </w:r>
    </w:p>
    <w:p>
      <w:r>
        <w:t>Coffee was produced through the agency of native regents, or bupati, under a system of forced deliveries. In their acts of appointment, regents guaranteed to deliver a certain amount of produce at a certain price. At first this price was arrived at by agreement, but as time went on the VOC could impose terms unilaterally.</w:t>
      </w:r>
    </w:p>
    <w:p>
      <w:r>
        <w:t>The regent was allowed to raise his own taxes in kind and was expected to pay his own subordinates. The arrangement therefore made indigenous aristocratic authority part of the Company’s extraction system.</w:t>
      </w:r>
    </w:p>
    <w:p>
      <w:pPr>
        <w:pStyle w:val="Heading2"/>
      </w:pPr>
      <w:r>
        <w:t>Contingencies and Coffee-Sergeants</w:t>
      </w:r>
    </w:p>
    <w:p>
      <w:r>
        <w:t>In districts outside the coffee and teak areas, a system of contingencies operated. Here the regent signed a deed of alliance and agreed to deliver part of the produce of his regency to the VOC as tribute, often without payment. Professor Kumar notes that in practice the distinction between contingencies and forced deliveries could be blurred.</w:t>
      </w:r>
    </w:p>
    <w:p>
      <w:r>
        <w:t>The beginnings of later Dutch colonial administration appeared at this point in the form of overseers, also known as coffee-sergeants. These officials were meant to ensure that cultivators planted the required crops and to keep an eye on regents. In practice, some made money by advancing funds to regents at interest before delivery payments were made.</w:t>
      </w:r>
    </w:p>
    <w:p>
      <w:pPr>
        <w:pStyle w:val="Heading2"/>
      </w:pPr>
      <w:r>
        <w:t>Eighteenth-Century Military Ventures in Java</w:t>
      </w:r>
    </w:p>
    <w:p>
      <w:r>
        <w:t>The VOC’s military ventures in the eighteenth century also concentrated on Java. Banten had become a dependent state, and the Company became deeply involved in Mataram politics through the Javanese wars of succession.</w:t>
      </w:r>
    </w:p>
    <w:p>
      <w:r>
        <w:t>Professor Kumar identifies a chain of conflicts: the First Javanese War of Succession, expeditions against Surapati, and the Second Javanese War of Succession. In each case the VOC intervened in disputes over the throne, installed or backed preferred rulers, and deepened its political claims.</w:t>
      </w:r>
    </w:p>
    <w:p>
      <w:pPr>
        <w:pStyle w:val="Heading2"/>
      </w:pPr>
      <w:r>
        <w:t>The Chinese Crisis and War, 1740-1757</w:t>
      </w:r>
    </w:p>
    <w:p>
      <w:r>
        <w:t>The period from 1740 to 1757 was one of almost continual warfare on Java. It began among the Chinese community in Batavia, whose presence there had owed much to earlier Dutch encouragement. Coen had considered the Chinese industrious and essential to Batavia’s commercial success.</w:t>
      </w:r>
    </w:p>
    <w:p>
      <w:r>
        <w:t>Later administrators became alarmed by unemployed Chinese, deportation regulations were introduced, and abuses and rumours intensified the crisis. Violence in Batavia turned into massacre, and Chinese resistance spread along the north coast and inland. Pakubuwana II of Mataram at first joined forces with the Chinese, then changed course and made peace with the Dutch. Javanese involvement continued with its own momentum.</w:t>
      </w:r>
    </w:p>
    <w:p>
      <w:pPr>
        <w:pStyle w:val="Heading2"/>
      </w:pPr>
      <w:r>
        <w:t>Partition of Mataram</w:t>
      </w:r>
    </w:p>
    <w:p>
      <w:r>
        <w:t>The Dutch eventually regained control with the help of Cakraningrat IV of Madura, but no lasting peace followed. Pakubuwana II’s brother Mangkubumi rose in rebellion, joined by Mas Said. Their movement gained support and took on the aspect of a war of liberation against Dutch control.</w:t>
      </w:r>
    </w:p>
    <w:p>
      <w:r>
        <w:t>By 1755 the Dutch were strong enough to partition Mataram through the Treaty of Giyanti. Mataram was divided into Surakarta under Pakubuwana III and Yogyakarta under Mangkubumi, now Sultan Hamengkubuwana. Both states acknowledged VOC sovereignty. In 1757 a third, smaller principality, the Mangkunegaran, was created for Mas Said. The territories were deliberately fragmented to prevent dangerous concentrations of power.</w:t>
      </w:r>
    </w:p>
    <w:p>
      <w:pPr>
        <w:pStyle w:val="Heading2"/>
      </w:pPr>
      <w:r>
        <w:t>The Oosthoek and Balambangan</w:t>
      </w:r>
    </w:p>
    <w:p>
      <w:r>
        <w:t>The last major Dutch campaign on Java was the conquest of the Oosthoek between 1757 and 1777. The political centre here was Balambangan, the last Hindu kingdom on Java, culturally linked to Bali rather than to the Javanese court world.</w:t>
      </w:r>
    </w:p>
    <w:p>
      <w:r>
        <w:t>The area became a refuge for anti-Dutch elements, including descendants of Surapati, Chinese refugees from the 1740 troubles, Buginese, Makassarese and Madurese. Professor Kumar notes the curious cultural result of the Dutch conquest: the Dutch enforced a change in the state religion from Hinduism to Islam, in order to break Balambangan’s ties with Bali.</w:t>
      </w:r>
    </w:p>
    <w:p>
      <w:pPr>
        <w:pStyle w:val="Heading2"/>
      </w:pPr>
      <w:r>
        <w:t>Dissolution of the VOC</w:t>
      </w:r>
    </w:p>
    <w:p>
      <w:r>
        <w:t>By 1777 the VOC had extinguished or subjugated its major rivals on Java, but it did not survive long enough to profit securely from its expanded domain. Professor Kumar presents the Company’s dissolution as the result of both internal weakness and European political developments.</w:t>
      </w:r>
    </w:p>
    <w:p>
      <w:r>
        <w:t>The American War of Independence exposed Dutch shipping and Asian possessions to English attacks, while the Treaty of Paris weakened the VOC monopoly. The French Revolution and the establishment of the Batavian Republic in 1795 further transformed the political situation. The Dutch ruler fled to England, British forces seized many Dutch possessions, and the Batavian Republic took over the VOC’s territorial possessions and debts.</w:t>
      </w:r>
    </w:p>
    <w:p>
      <w:pPr>
        <w:pStyle w:val="Heading2"/>
      </w:pPr>
      <w:r>
        <w:t>Eighteenth-Century Dutch Society in Java</w:t>
      </w:r>
    </w:p>
    <w:p>
      <w:r>
        <w:t>The lecture closes by warning students against assuming that Europeans of this period were “like us.” Professor Kumar stresses that eighteenth-century Europeans were also historically distant, and in some ways had more in common with Asians of the same period than modern readers may expect.</w:t>
      </w:r>
    </w:p>
    <w:p>
      <w:r>
        <w:t>She also cautions against portraying the Dutch simply as hard-headed businessmen in contrast to the Portuguese. The Dutch were children of their age, and that age still thought instinctively in religious categories. Even commercial and military policies could be entangled with religious distinctions and assumptions.</w:t>
      </w:r>
    </w:p>
    <w:p>
      <w:pPr>
        <w:pStyle w:val="Heading2"/>
      </w:pPr>
      <w:r>
        <w:t>Historical Significance</w:t>
      </w:r>
    </w:p>
    <w:p>
      <w:r>
        <w:t>The eighteenth-century VOC was not the same institution as the expansive trading Company of Coen’s time. It had become increasingly territorial, increasingly Java-centred, increasingly dependent on forced produce, and increasingly entangled in dynastic politics and war.</w:t>
      </w:r>
    </w:p>
    <w:p>
      <w:r>
        <w:t>This transformation laid the foundations for later colonial administration. Forced deliveries, contingencies, overseers, regent mediation and Java-centred extraction all anticipate the nineteenth-century colonial state and the Culture System.</w:t>
      </w:r>
    </w:p>
    <w:p>
      <w:pPr>
        <w:pStyle w:val="Heading2"/>
      </w:pPr>
      <w:r>
        <w:t>Key Terms</w:t>
      </w:r>
    </w:p>
    <w:p>
      <w:r>
        <w:rPr>
          <w:b/>
        </w:rPr>
        <w:t xml:space="preserve">VOC: </w:t>
      </w:r>
      <w:r>
        <w:t>The Dutch East India Company, whose eighteenth-century transformation from trade network to Java-centred extraction system is the subject of this lecture.</w:t>
      </w:r>
    </w:p>
    <w:p>
      <w:r>
        <w:rPr>
          <w:b/>
        </w:rPr>
        <w:t xml:space="preserve">forced deliveries: </w:t>
      </w:r>
      <w:r>
        <w:t>A system requiring local authorities to deliver specified produce to the Company at fixed or imposed prices.</w:t>
      </w:r>
    </w:p>
    <w:p>
      <w:r>
        <w:rPr>
          <w:b/>
        </w:rPr>
        <w:t xml:space="preserve">contingencies: </w:t>
      </w:r>
      <w:r>
        <w:t>Tribute-like deliveries made by regents or districts to the VOC, often without payment.</w:t>
      </w:r>
    </w:p>
    <w:p>
      <w:r>
        <w:rPr>
          <w:b/>
        </w:rPr>
        <w:t xml:space="preserve">bupati / regent: </w:t>
      </w:r>
      <w:r>
        <w:t>A Javanese aristocratic local administrator through whom the VOC increasingly organised extraction.</w:t>
      </w:r>
    </w:p>
    <w:p>
      <w:r>
        <w:rPr>
          <w:b/>
        </w:rPr>
        <w:t xml:space="preserve">Preanger / Priangan: </w:t>
      </w:r>
      <w:r>
        <w:t>The hilly region of West Java where VOC coffee cultivation became especially important.</w:t>
      </w:r>
    </w:p>
    <w:p>
      <w:r>
        <w:rPr>
          <w:b/>
        </w:rPr>
        <w:t xml:space="preserve">opziener / coffee-sergeant: </w:t>
      </w:r>
      <w:r>
        <w:t>A Dutch overseer charged with monitoring cultivation and regents in the coffee-producing districts.</w:t>
      </w:r>
    </w:p>
    <w:p>
      <w:r>
        <w:rPr>
          <w:b/>
        </w:rPr>
        <w:t xml:space="preserve">Treaty of Giyanti: </w:t>
      </w:r>
      <w:r>
        <w:t>The 1755 agreement that partitioned Mataram into Surakarta and Yogyakarta under VOC sovereignty.</w:t>
      </w:r>
    </w:p>
    <w:p>
      <w:r>
        <w:rPr>
          <w:b/>
        </w:rPr>
        <w:t xml:space="preserve">Mangkunegaran: </w:t>
      </w:r>
      <w:r>
        <w:t>The smaller principality created in 1757 for Mas Said, dependent on Surakarta.</w:t>
      </w:r>
    </w:p>
    <w:p>
      <w:r>
        <w:rPr>
          <w:b/>
        </w:rPr>
        <w:t xml:space="preserve">Oosthoek: </w:t>
      </w:r>
      <w:r>
        <w:t>The eastern salient of Java, conquered by the Dutch between 1757 and 1777.</w:t>
      </w:r>
    </w:p>
    <w:p>
      <w:r>
        <w:rPr>
          <w:b/>
        </w:rPr>
        <w:t xml:space="preserve">Balambangan: </w:t>
      </w:r>
      <w:r>
        <w:t>The last Hindu kingdom on Java, culturally tied to Bali and later subjected to Dutch conquest.</w:t>
      </w:r>
    </w:p>
    <w:p>
      <w:r>
        <w:rPr>
          <w:b/>
        </w:rPr>
        <w:t xml:space="preserve">Batavian Republic: </w:t>
      </w:r>
      <w:r>
        <w:t>The republican government in the Netherlands that took over the VOC’s possessions and debts.</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