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AK-L09: Makassar and the Bongaya Treaty - Further Reading</w:t>
      </w:r>
    </w:p>
    <w:p>
      <w:pPr>
        <w:jc w:val="center"/>
      </w:pPr>
      <w:r>
        <w:rPr>
          <w:i/>
          <w:color w:val="4A5568"/>
          <w:sz w:val="22"/>
        </w:rPr>
        <w:t>Compact reading guide for the Makassar and Bongaya lecture package.</w:t>
      </w:r>
    </w:p>
    <w:p>
      <w:r>
        <w:t>Resource package: AK-L09_Makassar-and-the-Bongaya-Treaty</w:t>
      </w:r>
    </w:p>
    <w:p>
      <w:r>
        <w:t>Source: PDF Low Res-0004 / AK pdf 004 - Dutch Strategy in the Seventeenth Century; Makassar and Bongaya breakout section.</w:t>
      </w:r>
    </w:p>
    <w:p>
      <w:pPr>
        <w:pStyle w:val="Heading2"/>
      </w:pPr>
      <w:r>
        <w:t>Reading Note</w:t>
      </w:r>
    </w:p>
    <w:p>
      <w:r>
        <w:t>This reading note supports the Makassar breakout from the Dutch Strategy lecture. The focus is Makassar as a free maritime port, the VOC’s monopoly strategy, Arung Palakka’s alliance with the Dutch, and the regional consequences of the Bongaya settlement.</w:t>
      </w:r>
    </w:p>
    <w:p>
      <w:pPr>
        <w:pStyle w:val="Heading2"/>
      </w:pPr>
      <w:r>
        <w:t>Core Reading Areas</w:t>
      </w:r>
    </w:p>
    <w:p>
      <w:r>
        <w:rPr>
          <w:b/>
        </w:rPr>
        <w:t xml:space="preserve">Works on the VOC and seventeenth-century maritime strategy: </w:t>
      </w:r>
      <w:r>
        <w:t>For the Company’s attempt to turn a trading network into a monopoly system enforced by treaty and war.</w:t>
      </w:r>
    </w:p>
    <w:p>
      <w:r>
        <w:rPr>
          <w:b/>
        </w:rPr>
        <w:t xml:space="preserve">Studies of Makassar, Goa and South Sulawesi: </w:t>
      </w:r>
      <w:r>
        <w:t>For Makassar’s commercial expansion, Islamisation and political-military organisation before the Dutch conquest.</w:t>
      </w:r>
    </w:p>
    <w:p>
      <w:r>
        <w:rPr>
          <w:b/>
        </w:rPr>
        <w:t xml:space="preserve">Leonard Y. Andaya on Arung Palakka and South Sulawesi: </w:t>
      </w:r>
      <w:r>
        <w:t>Essential for the Buginese side of the story and the politics behind the alliance with the VOC.</w:t>
      </w:r>
    </w:p>
    <w:p>
      <w:r>
        <w:rPr>
          <w:b/>
        </w:rPr>
        <w:t xml:space="preserve">H. J. de Graaf and Dutch-Indonesian historiography: </w:t>
      </w:r>
      <w:r>
        <w:t>Useful for the wider VOC context and seventeenth-century Dutch intervention in Indonesian politics.</w:t>
      </w:r>
    </w:p>
    <w:p>
      <w:r>
        <w:rPr>
          <w:b/>
        </w:rPr>
        <w:t xml:space="preserve">C. C. Macknight on South Celebes civilisation: </w:t>
      </w:r>
      <w:r>
        <w:t>Important for placing the Makassar-Buginese world within the wider claim of indigenous Southeast Asian vitality.</w:t>
      </w:r>
    </w:p>
    <w:p>
      <w:r>
        <w:rPr>
          <w:b/>
        </w:rPr>
        <w:t xml:space="preserve">Works on the Treaty of Bongaya: </w:t>
      </w:r>
      <w:r>
        <w:t>For the terms, consequences and significance of the 1667 settlement.</w:t>
      </w:r>
    </w:p>
    <w:p>
      <w:r>
        <w:rPr>
          <w:b/>
        </w:rPr>
        <w:t xml:space="preserve">Studies of Makassarese and Buginese migration: </w:t>
      </w:r>
      <w:r>
        <w:t>For the post-conquest diaspora and the role of South Sulawesi peoples in Siam, Cambodia, Malaya and the archipelago.</w:t>
      </w:r>
    </w:p>
    <w:p>
      <w:pPr>
        <w:pStyle w:val="Heading2"/>
      </w:pPr>
      <w:r>
        <w:t>Key Terms to Cross-Reference in the Glossary</w:t>
      </w:r>
    </w:p>
    <w:p>
      <w:pPr>
        <w:ind w:left="360" w:hanging="216"/>
      </w:pPr>
      <w:r>
        <w:rPr>
          <w:b/>
        </w:rPr>
        <w:t xml:space="preserve">• </w:t>
      </w:r>
      <w:r>
        <w:t>Makassar</w:t>
      </w:r>
    </w:p>
    <w:p>
      <w:pPr>
        <w:ind w:left="360" w:hanging="216"/>
      </w:pPr>
      <w:r>
        <w:rPr>
          <w:b/>
        </w:rPr>
        <w:t xml:space="preserve">• </w:t>
      </w:r>
      <w:r>
        <w:t>Bongaya Contract</w:t>
      </w:r>
    </w:p>
    <w:p>
      <w:pPr>
        <w:ind w:left="360" w:hanging="216"/>
      </w:pPr>
      <w:r>
        <w:rPr>
          <w:b/>
        </w:rPr>
        <w:t xml:space="preserve">• </w:t>
      </w:r>
      <w:r>
        <w:t>VOC</w:t>
      </w:r>
    </w:p>
    <w:p>
      <w:pPr>
        <w:ind w:left="360" w:hanging="216"/>
      </w:pPr>
      <w:r>
        <w:rPr>
          <w:b/>
        </w:rPr>
        <w:t xml:space="preserve">• </w:t>
      </w:r>
      <w:r>
        <w:t>Arung Palakka</w:t>
      </w:r>
    </w:p>
    <w:p>
      <w:pPr>
        <w:ind w:left="360" w:hanging="216"/>
      </w:pPr>
      <w:r>
        <w:rPr>
          <w:b/>
        </w:rPr>
        <w:t xml:space="preserve">• </w:t>
      </w:r>
      <w:r>
        <w:t>Bone</w:t>
      </w:r>
    </w:p>
    <w:p>
      <w:pPr>
        <w:ind w:left="360" w:hanging="216"/>
      </w:pPr>
      <w:r>
        <w:rPr>
          <w:b/>
        </w:rPr>
        <w:t xml:space="preserve">• </w:t>
      </w:r>
      <w:r>
        <w:t>Goa / Gowa</w:t>
      </w:r>
    </w:p>
    <w:p>
      <w:pPr>
        <w:ind w:left="360" w:hanging="216"/>
      </w:pPr>
      <w:r>
        <w:rPr>
          <w:b/>
        </w:rPr>
        <w:t xml:space="preserve">• </w:t>
      </w:r>
      <w:r>
        <w:t>trade monopoly</w:t>
      </w:r>
    </w:p>
    <w:p>
      <w:pPr>
        <w:ind w:left="360" w:hanging="216"/>
      </w:pPr>
      <w:r>
        <w:rPr>
          <w:b/>
        </w:rPr>
        <w:t xml:space="preserve">• </w:t>
      </w:r>
      <w:r>
        <w:t>direct administration</w:t>
      </w:r>
    </w:p>
    <w:p>
      <w:pPr>
        <w:pStyle w:val="Heading2"/>
      </w:pPr>
      <w:r>
        <w:t>Archive Cross-Links</w:t>
      </w:r>
    </w:p>
    <w:p>
      <w:pPr>
        <w:ind w:left="360" w:hanging="216"/>
      </w:pPr>
      <w:r>
        <w:rPr>
          <w:b/>
        </w:rPr>
        <w:t xml:space="preserve">• </w:t>
      </w:r>
      <w:r>
        <w:t>AK-L07 - The Dutch Strategy in the Seventeenth Century</w:t>
      </w:r>
    </w:p>
    <w:p>
      <w:pPr>
        <w:ind w:left="360" w:hanging="216"/>
      </w:pPr>
      <w:r>
        <w:rPr>
          <w:b/>
        </w:rPr>
        <w:t xml:space="preserve">• </w:t>
      </w:r>
      <w:r>
        <w:t>AK-L08 - The Moluccan Spice Monopoly</w:t>
      </w:r>
    </w:p>
    <w:p>
      <w:pPr>
        <w:ind w:left="360" w:hanging="216"/>
      </w:pPr>
      <w:r>
        <w:rPr>
          <w:b/>
        </w:rPr>
        <w:t xml:space="preserve">• </w:t>
      </w:r>
      <w:r>
        <w:t>AK-L04 - Arung Palakka and South Celebes Politics</w:t>
      </w:r>
    </w:p>
    <w:p>
      <w:pPr>
        <w:ind w:left="360" w:hanging="216"/>
      </w:pPr>
      <w:r>
        <w:rPr>
          <w:b/>
        </w:rPr>
        <w:t xml:space="preserve">• </w:t>
      </w:r>
      <w:r>
        <w:t>AK-L03 - The Buginese Concept of Kingship</w:t>
      </w:r>
    </w:p>
    <w:p>
      <w:pPr>
        <w:ind w:left="360" w:hanging="216"/>
      </w:pPr>
      <w:r>
        <w:rPr>
          <w:b/>
        </w:rPr>
        <w:t xml:space="preserve">• </w:t>
      </w:r>
      <w:r>
        <w:t>AK-L06 - Aceh: Islamic State, Trade and Scholarship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