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C5943A"/>
          <w:sz w:val="18"/>
        </w:rPr>
        <w:t>Professor Ann Kumar Southeast Asian Civilisation Archive</w:t>
      </w:r>
    </w:p>
    <w:p>
      <w:pPr>
        <w:pStyle w:val="Title"/>
        <w:jc w:val="center"/>
      </w:pPr>
      <w:r>
        <w:rPr>
          <w:rFonts w:ascii="Georgia" w:hAnsi="Georgia"/>
          <w:color w:val="1B3A5C"/>
        </w:rPr>
        <w:t>AK-L09: Makassar and the Bongaya Treaty - Clean Transcript</w:t>
      </w:r>
    </w:p>
    <w:p>
      <w:pPr>
        <w:jc w:val="center"/>
      </w:pPr>
      <w:r>
        <w:rPr>
          <w:i/>
          <w:color w:val="4A5568"/>
          <w:sz w:val="22"/>
        </w:rPr>
        <w:t>Edited teaching transcript for the Makassar breakout from Professor Ann Kumar’s lecture on seventeenth-century Dutch strategy.</w:t>
      </w:r>
    </w:p>
    <w:p>
      <w:r>
        <w:t>Resource package: AK-L09_Makassar-and-the-Bongaya-Treaty</w:t>
      </w:r>
    </w:p>
    <w:p>
      <w:r>
        <w:t>Source: PDF Low Res-0004 / AK pdf 004 - Dutch Strategy in the Seventeenth Century; Makassar and Bongaya breakout section.</w:t>
      </w:r>
    </w:p>
    <w:tbl>
      <w:tblPr>
        <w:tblW w:type="auto" w:w="0"/>
        <w:jc w:val="center"/>
        <w:tblLook w:firstColumn="1" w:firstRow="1" w:lastColumn="0" w:lastRow="0" w:noHBand="0" w:noVBand="1" w:val="04A0"/>
      </w:tblPr>
      <w:tblGrid>
        <w:gridCol w:w="9936"/>
      </w:tblGrid>
      <w:tr>
        <w:tc>
          <w:tcPr>
            <w:tcW w:type="dxa" w:w="9936"/>
            <w:shd w:fill="F5F0E6"/>
            <w:vAlign w:val="top"/>
          </w:tcPr>
          <w:p>
            <w:r>
              <w:rPr>
                <w:b/>
                <w:color w:val="1B3A5C"/>
                <w:sz w:val="20"/>
              </w:rPr>
              <w:t>Editorial Note</w:t>
            </w:r>
          </w:p>
          <w:p>
            <w:pPr>
              <w:spacing w:after="80"/>
            </w:pPr>
            <w:r>
              <w:rPr>
                <w:sz w:val="18"/>
              </w:rPr>
              <w:t>This clean transcript is a focused teaching edition extracted from the Makassar and Bongaya section of Professor Kumar’s Dutch Strategy lecture. Obvious OCR errors have been regularised, paragraphing has been added, and the argument has been shaped for readability while preserving the lecture’s sequence and meaning.</w:t>
            </w:r>
          </w:p>
        </w:tc>
      </w:tr>
    </w:tbl>
    <w:p/>
    <w:p>
      <w:pPr>
        <w:pStyle w:val="Heading2"/>
      </w:pPr>
      <w:r>
        <w:t>Editorial Framing</w:t>
      </w:r>
    </w:p>
    <w:p>
      <w:r>
        <w:t>This breakout transcript draws from Professor Ann Kumar’s lecture on Dutch strategy in the seventeenth century, isolating the Makassar section as a focused resource on maritime trade, local power, alliance, treaty and regional consequence.</w:t>
      </w:r>
    </w:p>
    <w:p>
      <w:r>
        <w:t>The section belongs to the Colonial Engine hub, but it also connects strongly with the Indigenous Sovereignty material on Arung Palakka and South Celebes politics. Makassar appears as the free port and maritime rival that exposed the limits of Dutch monopoly.</w:t>
      </w:r>
    </w:p>
    <w:p>
      <w:pPr>
        <w:pStyle w:val="Heading2"/>
      </w:pPr>
      <w:r>
        <w:t>From the Moluccas to Makassar</w:t>
      </w:r>
    </w:p>
    <w:p>
      <w:r>
        <w:t>After the subjugation of the Moluccas, Professor Kumar explains that the centre of anti-Dutch trade shifted to Makassar. This transition is crucial. It shows that monopoly in one region did not end competition; it displaced it into another commercial centre.</w:t>
      </w:r>
    </w:p>
    <w:p>
      <w:r>
        <w:t>Makassar was well situated for trade with the Moluccas, Java, Banjarmasin, the Lesser Sundas and the southern Philippine area. Its position made it a natural collecting point for merchants seeking routes and markets beyond Dutch control.</w:t>
      </w:r>
    </w:p>
    <w:p>
      <w:pPr>
        <w:pStyle w:val="Heading2"/>
      </w:pPr>
      <w:r>
        <w:t>A Cosmopolitan Maritime Port</w:t>
      </w:r>
    </w:p>
    <w:p>
      <w:r>
        <w:t>Makassar’s growth was stimulated by Malay emigration after the Portuguese capture of Malacca, and also by movements from Johore after that state was weakened by Acehnese raids.</w:t>
      </w:r>
    </w:p>
    <w:p>
      <w:r>
        <w:t>By 1600, Makassar had a large Malay colony. Its rulers encouraged foreign traders, including Chinese, Indians, Arabs, Javanese, Portuguese, English and Danes. In Professor Kumar’s account, Makassar was not a marginal port but a cosmopolitan maritime society embedded in the Malayo-Indonesian trading world.</w:t>
      </w:r>
    </w:p>
    <w:p>
      <w:pPr>
        <w:pStyle w:val="Heading2"/>
      </w:pPr>
      <w:r>
        <w:t>Islamisation and Aristocratic Trade</w:t>
      </w:r>
    </w:p>
    <w:p>
      <w:r>
        <w:t>Professor Kumar identifies two important early seventeenth-century developments in Makassar: Islamisation, and the more direct participation of the local Makassarese aristocracy in trade.</w:t>
      </w:r>
    </w:p>
    <w:p>
      <w:r>
        <w:t>The aristocracy first hired foreign ships and then had their own vessels built in Java. They also used Portuguese pilots. This suggests a political elite actively adapting to maritime commerce rather than merely receiving outside influence.</w:t>
      </w:r>
    </w:p>
    <w:p>
      <w:pPr>
        <w:pStyle w:val="Heading2"/>
      </w:pPr>
      <w:r>
        <w:t>Makassar as a Regional Power</w:t>
      </w:r>
    </w:p>
    <w:p>
      <w:r>
        <w:t>By the 1630s, Makassar had acquired a considerable sphere of influence, including much of coastal Celebes, parts of the Moluccas and the Lesser Sundas.</w:t>
      </w:r>
    </w:p>
    <w:p>
      <w:r>
        <w:t>Its rulers used Portuguese firearms and constructed fortifications along European lines. These details matter because they show Makassar as a military and commercial power able to absorb foreign techniques into local strategy.</w:t>
      </w:r>
    </w:p>
    <w:p>
      <w:pPr>
        <w:pStyle w:val="Heading2"/>
      </w:pPr>
      <w:r>
        <w:t>Collision with Dutch Monopoly</w:t>
      </w:r>
    </w:p>
    <w:p>
      <w:r>
        <w:t>Makassar’s importance made conflict with the VOC increasingly likely. From the Dutch perspective, Makassar was not merely a competitor; it was a loophole in the monopoly system. It provided a harbour, market and political refuge for traders the VOC wished to exclude.</w:t>
      </w:r>
    </w:p>
    <w:p>
      <w:r>
        <w:t>A Dutch expedition was sent to Makassar in 1660, and a treaty was signed under which the Sultan promised to expel the Portuguese. He did not comply. This failure set the stage for a stronger Dutch intervention.</w:t>
      </w:r>
    </w:p>
    <w:p>
      <w:pPr>
        <w:pStyle w:val="Heading2"/>
      </w:pPr>
      <w:r>
        <w:t>Speelman, Arung Palakka and the 1666 Expedition</w:t>
      </w:r>
    </w:p>
    <w:p>
      <w:r>
        <w:t>In 1666 a second expedition was sent under Cornelis Speelman. He was helped by Buginese troops under Arung Palakka of Bone, who had his own conflict with the Makassarese ruler.</w:t>
      </w:r>
    </w:p>
    <w:p>
      <w:r>
        <w:t>This alliance is one of the most important interpretive moments in the lecture cluster. Dutch power did not operate in a vacuum. It entered a South Celebes political world already shaped by rivalry, resentment, migration and ambitions of its own.</w:t>
      </w:r>
    </w:p>
    <w:p>
      <w:pPr>
        <w:pStyle w:val="Heading2"/>
      </w:pPr>
      <w:r>
        <w:t>The Bongaya Contract</w:t>
      </w:r>
    </w:p>
    <w:p>
      <w:r>
        <w:t>After a four-month siege, the Dutch succeeded in imposing the Bongaya Contract. Under its terms, the Sultan acknowledged Dutch overlordship and granted them a trade monopoly.</w:t>
      </w:r>
    </w:p>
    <w:p>
      <w:r>
        <w:t>Makassar’s forts had to be dismantled, except for the main fort, which was to be occupied by a Dutch garrison. Non-Dutch Europeans were to be expelled, and a heavy indemnity was imposed. In 1668, after treaty evasion and renewed fighting, the Sultan had to abdicate.</w:t>
      </w:r>
    </w:p>
    <w:p>
      <w:pPr>
        <w:pStyle w:val="Heading2"/>
      </w:pPr>
      <w:r>
        <w:t>Direct Rule and the Contrast with Java</w:t>
      </w:r>
    </w:p>
    <w:p>
      <w:r>
        <w:t>Professor Kumar draws an important contrast between Makassar and Java. From this point on, Makassar came under direct Dutch administration, unlike Java, where Dutch power long worked through indirect rule.</w:t>
      </w:r>
    </w:p>
    <w:p>
      <w:r>
        <w:t>In Java, she suggests, indirect Dutch rule reinforced Javanese civilisation and “Javanese-ness.” In Makassar, by contrast, direct Dutch subordination altered the region’s political trajectory more abruptly and helped generate resentment of Javanese cultural pretensions later on.</w:t>
      </w:r>
    </w:p>
    <w:p>
      <w:pPr>
        <w:pStyle w:val="Heading2"/>
      </w:pPr>
      <w:r>
        <w:t>Buginese Hegemony and Regional Consequence</w:t>
      </w:r>
    </w:p>
    <w:p>
      <w:r>
        <w:t>The Buginese area also came under Dutch hegemony, but the fall of Makassar did not end South Sulawesi’s historical influence. Instead, it helped redirect Makassarese and Buginese activity outward.</w:t>
      </w:r>
    </w:p>
    <w:p>
      <w:r>
        <w:t>The conquest produced a tremendous emigration. Makassarese and Buginese came to play important roles in the history of Siam, Cambodia, Malaya and other parts of Southeast Asia. Professor Kumar notes, for example, Makassarese involvement in the turbulent 1680s in Siam.</w:t>
      </w:r>
    </w:p>
    <w:p>
      <w:pPr>
        <w:pStyle w:val="Heading2"/>
      </w:pPr>
      <w:r>
        <w:t>Historical Significance</w:t>
      </w:r>
    </w:p>
    <w:p>
      <w:r>
        <w:t>Makassar and the Bongaya settlement reveal the political logic of the VOC’s trade empire. The Dutch sought monopoly, but monopoly required the breaking of a free port and the manipulation of local alliances.</w:t>
      </w:r>
    </w:p>
    <w:p>
      <w:r>
        <w:t>The episode also prevents a simple European-versus-Indigenous narrative. The Dutch campaign succeeded through the participation of Arung Palakka and Buginese forces, whose own aims were rooted in South Celebes politics. The fall of Makassar therefore belongs equally to the history of the VOC, the history of Buginese power, and the history of maritime Southeast Asia.</w:t>
      </w:r>
    </w:p>
    <w:p>
      <w:pPr>
        <w:pStyle w:val="Heading2"/>
      </w:pPr>
      <w:r>
        <w:t>Key Terms</w:t>
      </w:r>
    </w:p>
    <w:p>
      <w:r>
        <w:rPr>
          <w:b/>
        </w:rPr>
        <w:t xml:space="preserve">Makassar: </w:t>
      </w:r>
      <w:r>
        <w:t>A major South Sulawesi port and maritime power that became the centre of anti-Dutch trade after the subjugation of the Moluccas.</w:t>
      </w:r>
    </w:p>
    <w:p>
      <w:r>
        <w:rPr>
          <w:b/>
        </w:rPr>
        <w:t xml:space="preserve">Bongaya Contract: </w:t>
      </w:r>
      <w:r>
        <w:t>The treaty settlement imposed after the Dutch siege of Makassar, forcing Dutch overlordship, monopoly restrictions, fort dismantling and indemnity.</w:t>
      </w:r>
    </w:p>
    <w:p>
      <w:r>
        <w:rPr>
          <w:b/>
        </w:rPr>
        <w:t xml:space="preserve">Cornelis Speelman: </w:t>
      </w:r>
      <w:r>
        <w:t>VOC commander of the 1666 expedition against Makassar.</w:t>
      </w:r>
    </w:p>
    <w:p>
      <w:r>
        <w:rPr>
          <w:b/>
        </w:rPr>
        <w:t xml:space="preserve">Arung Palakka: </w:t>
      </w:r>
      <w:r>
        <w:t>Buginese leader from Bone whose alliance with the Dutch was decisive in the defeat of Makassar.</w:t>
      </w:r>
    </w:p>
    <w:p>
      <w:r>
        <w:rPr>
          <w:b/>
        </w:rPr>
        <w:t xml:space="preserve">Bone / Boni: </w:t>
      </w:r>
      <w:r>
        <w:t>A Buginese polity in South Sulawesi associated with Arung Palakka.</w:t>
      </w:r>
    </w:p>
    <w:p>
      <w:r>
        <w:rPr>
          <w:b/>
        </w:rPr>
        <w:t xml:space="preserve">Portuguese pilots: </w:t>
      </w:r>
      <w:r>
        <w:t>Maritime specialists used by Makassarese rulers, indicating the port’s practical adaptation of foreign expertise.</w:t>
      </w:r>
    </w:p>
    <w:p>
      <w:r>
        <w:rPr>
          <w:b/>
        </w:rPr>
        <w:t xml:space="preserve">trade monopoly: </w:t>
      </w:r>
      <w:r>
        <w:t>Exclusive control over trade, here the VOC aim that brought Dutch policy into conflict with Makassar.</w:t>
      </w:r>
    </w:p>
    <w:p>
      <w:r>
        <w:rPr>
          <w:b/>
        </w:rPr>
        <w:t xml:space="preserve">direct administration: </w:t>
      </w:r>
      <w:r>
        <w:t>A mode of rule in which the Dutch governed directly, contrasted by Professor Kumar with indirect arrangements in Java.</w:t>
      </w:r>
    </w:p>
    <w:sectPr w:rsidR="00FC693F" w:rsidRPr="0006063C" w:rsidSect="00034616">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76"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b/>
      <w:bCs/>
      <w:color w:val="1B3A5C"/>
      <w:sz w:val="4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b/>
      <w:bCs/>
      <w:color w:val="1B3A5C"/>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b/>
      <w:bCs/>
      <w:color w:val="1B3A5C"/>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