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AK-L08: The Moluccan Spice Monopoly - Further Reading</w:t>
      </w:r>
    </w:p>
    <w:p>
      <w:pPr>
        <w:jc w:val="center"/>
      </w:pPr>
      <w:r>
        <w:rPr>
          <w:i/>
          <w:color w:val="4A5568"/>
          <w:sz w:val="22"/>
        </w:rPr>
        <w:t>Compact reading guide for the Moluccan spice monopoly lecture package.</w:t>
      </w:r>
    </w:p>
    <w:p>
      <w:r>
        <w:t>Resource package: AK-L08_The-Moluccan-Spice-Monopoly</w:t>
      </w:r>
    </w:p>
    <w:p>
      <w:r>
        <w:t>Source: PDF Low Res-0004 / AK pdf 004 - Dutch Strategy in the Seventeenth Century; Moluccas breakout section.</w:t>
      </w:r>
    </w:p>
    <w:p>
      <w:pPr>
        <w:pStyle w:val="Heading2"/>
      </w:pPr>
      <w:r>
        <w:t>Reading Note</w:t>
      </w:r>
    </w:p>
    <w:p>
      <w:r>
        <w:t>This reading note supports the Moluccan breakout from the Dutch Strategy lecture. The focus is the VOC’s transition from commercial presence to coercive monopoly and the social consequences of that monopoly in the spice islands.</w:t>
      </w:r>
    </w:p>
    <w:p>
      <w:pPr>
        <w:pStyle w:val="Heading2"/>
      </w:pPr>
      <w:r>
        <w:t>Core Reading Areas</w:t>
      </w:r>
    </w:p>
    <w:p>
      <w:r>
        <w:rPr>
          <w:b/>
        </w:rPr>
        <w:t xml:space="preserve">Works on the VOC and early modern Asian trade: </w:t>
      </w:r>
      <w:r>
        <w:t>For the Company’s commercial structure, monopoly policy and the wider Asian trade network.</w:t>
      </w:r>
    </w:p>
    <w:p>
      <w:r>
        <w:rPr>
          <w:b/>
        </w:rPr>
        <w:t xml:space="preserve">Studies of the Banda Islands and the 1621 conquest: </w:t>
      </w:r>
      <w:r>
        <w:t>For the most violent expression of VOC monopoly enforcement.</w:t>
      </w:r>
    </w:p>
    <w:p>
      <w:r>
        <w:rPr>
          <w:b/>
        </w:rPr>
        <w:t xml:space="preserve">H. J. de Graaf and broader Dutch-Indonesian historiography: </w:t>
      </w:r>
      <w:r>
        <w:t>For seventeenth-century Dutch strategy and regional political contexts.</w:t>
      </w:r>
    </w:p>
    <w:p>
      <w:r>
        <w:rPr>
          <w:b/>
        </w:rPr>
        <w:t xml:space="preserve">Sutan Sjahrir, Out of Exile: </w:t>
      </w:r>
      <w:r>
        <w:t>Useful for later reflections on Ambonese identity and the social legacy of Dutch influence.</w:t>
      </w:r>
    </w:p>
    <w:p>
      <w:r>
        <w:rPr>
          <w:b/>
        </w:rPr>
        <w:t xml:space="preserve">Studies of Ambonese Christianity and creole identity: </w:t>
      </w:r>
      <w:r>
        <w:t>For the cultural consequences of early and deep Dutch colonisation in the Moluccas.</w:t>
      </w:r>
    </w:p>
    <w:p>
      <w:r>
        <w:rPr>
          <w:b/>
        </w:rPr>
        <w:t xml:space="preserve">Works on Islam in eastern Indonesia: </w:t>
      </w:r>
      <w:r>
        <w:t>For understanding Islam as a rallying point in resistance to Dutch monopoly.</w:t>
      </w:r>
    </w:p>
    <w:p>
      <w:r>
        <w:rPr>
          <w:b/>
        </w:rPr>
        <w:t xml:space="preserve">Studies of Makassar and the Treaty of Bongaya: </w:t>
      </w:r>
      <w:r>
        <w:t>For the next stage after the anti-Dutch trade centre shifted from the Moluccas to Makassar.</w:t>
      </w:r>
    </w:p>
    <w:p>
      <w:pPr>
        <w:pStyle w:val="Heading2"/>
      </w:pPr>
      <w:r>
        <w:t>Key Terms to Cross-Reference in the Glossary</w:t>
      </w:r>
    </w:p>
    <w:p>
      <w:pPr>
        <w:ind w:left="360" w:hanging="216"/>
      </w:pPr>
      <w:r>
        <w:rPr>
          <w:b/>
        </w:rPr>
        <w:t xml:space="preserve">• </w:t>
      </w:r>
      <w:r>
        <w:t>VOC</w:t>
      </w:r>
    </w:p>
    <w:p>
      <w:pPr>
        <w:ind w:left="360" w:hanging="216"/>
      </w:pPr>
      <w:r>
        <w:rPr>
          <w:b/>
        </w:rPr>
        <w:t xml:space="preserve">• </w:t>
      </w:r>
      <w:r>
        <w:t>Moluccas</w:t>
      </w:r>
    </w:p>
    <w:p>
      <w:pPr>
        <w:ind w:left="360" w:hanging="216"/>
      </w:pPr>
      <w:r>
        <w:rPr>
          <w:b/>
        </w:rPr>
        <w:t xml:space="preserve">• </w:t>
      </w:r>
      <w:r>
        <w:t>Banda</w:t>
      </w:r>
    </w:p>
    <w:p>
      <w:pPr>
        <w:ind w:left="360" w:hanging="216"/>
      </w:pPr>
      <w:r>
        <w:rPr>
          <w:b/>
        </w:rPr>
        <w:t xml:space="preserve">• </w:t>
      </w:r>
      <w:r>
        <w:t>hongi-tochten</w:t>
      </w:r>
    </w:p>
    <w:p>
      <w:pPr>
        <w:ind w:left="360" w:hanging="216"/>
      </w:pPr>
      <w:r>
        <w:rPr>
          <w:b/>
        </w:rPr>
        <w:t xml:space="preserve">• </w:t>
      </w:r>
      <w:r>
        <w:t>monopoly</w:t>
      </w:r>
    </w:p>
    <w:p>
      <w:pPr>
        <w:ind w:left="360" w:hanging="216"/>
      </w:pPr>
      <w:r>
        <w:rPr>
          <w:b/>
        </w:rPr>
        <w:t xml:space="preserve">• </w:t>
      </w:r>
      <w:r>
        <w:t>rice Christians</w:t>
      </w:r>
    </w:p>
    <w:p>
      <w:pPr>
        <w:ind w:left="360" w:hanging="216"/>
      </w:pPr>
      <w:r>
        <w:rPr>
          <w:b/>
        </w:rPr>
        <w:t xml:space="preserve">• </w:t>
      </w:r>
      <w:r>
        <w:t>Ambon</w:t>
      </w:r>
    </w:p>
    <w:p>
      <w:pPr>
        <w:ind w:left="360" w:hanging="216"/>
      </w:pPr>
      <w:r>
        <w:rPr>
          <w:b/>
        </w:rPr>
        <w:t xml:space="preserve">• </w:t>
      </w:r>
      <w:r>
        <w:t>Makassar</w:t>
      </w:r>
    </w:p>
    <w:p>
      <w:pPr>
        <w:pStyle w:val="Heading2"/>
      </w:pPr>
      <w:r>
        <w:t>Archive Cross-Links</w:t>
      </w:r>
    </w:p>
    <w:p>
      <w:pPr>
        <w:ind w:left="360" w:hanging="216"/>
      </w:pPr>
      <w:r>
        <w:rPr>
          <w:b/>
        </w:rPr>
        <w:t xml:space="preserve">• </w:t>
      </w:r>
      <w:r>
        <w:t>AK-L07 - The Dutch Strategy in the Seventeenth Century</w:t>
      </w:r>
    </w:p>
    <w:p>
      <w:pPr>
        <w:ind w:left="360" w:hanging="216"/>
      </w:pPr>
      <w:r>
        <w:rPr>
          <w:b/>
        </w:rPr>
        <w:t xml:space="preserve">• </w:t>
      </w:r>
      <w:r>
        <w:t>AK-L09 - Makassar and the Bongaya Treaty</w:t>
      </w:r>
    </w:p>
    <w:p>
      <w:pPr>
        <w:ind w:left="360" w:hanging="216"/>
      </w:pPr>
      <w:r>
        <w:rPr>
          <w:b/>
        </w:rPr>
        <w:t xml:space="preserve">• </w:t>
      </w:r>
      <w:r>
        <w:t>AK-L04 - Arung Palakka and South Celebes Politics</w:t>
      </w:r>
    </w:p>
    <w:p>
      <w:pPr>
        <w:ind w:left="360" w:hanging="216"/>
      </w:pPr>
      <w:r>
        <w:rPr>
          <w:b/>
        </w:rPr>
        <w:t xml:space="preserve">• </w:t>
      </w:r>
      <w:r>
        <w:t>AK-L02 - Islam as a Historical Force</w:t>
      </w:r>
    </w:p>
    <w:p>
      <w:pPr>
        <w:ind w:left="360" w:hanging="216"/>
      </w:pPr>
      <w:r>
        <w:rPr>
          <w:b/>
        </w:rPr>
        <w:t xml:space="preserve">• </w:t>
      </w:r>
      <w:r>
        <w:t>AK-L06 - Aceh: Islamic State, Trade and Scholarship</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