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" w:hAnsi="Aptos"/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rPr>
          <w:rFonts w:ascii="Georgia" w:hAnsi="Georgia"/>
          <w:color w:val="1B3A5C"/>
        </w:rPr>
        <w:t>AK-L07: The Dutch Strategy in the Seventeenth Century - Web Publishing Notes</w:t>
      </w:r>
    </w:p>
    <w:p>
      <w:pPr>
        <w:jc w:val="center"/>
      </w:pPr>
      <w:r>
        <w:rPr>
          <w:i/>
          <w:color w:val="4A5568"/>
          <w:sz w:val="22"/>
        </w:rPr>
        <w:t>Practical notes for uploading, linking and describing this resource package in WordPress.</w:t>
      </w:r>
    </w:p>
    <w:p>
      <w:r>
        <w:t>Resource package: AK-L07_The-Dutch-Strategy-in-the-Seventeenth-Century</w:t>
      </w:r>
    </w:p>
    <w:p>
      <w:r>
        <w:t>Source: PDF Low Res-0004 / AK pdf 004 - Dutch Strategy in the Seventeenth Century; Asian Civilisation IIISE lecture notes.</w:t>
      </w:r>
    </w:p>
    <w:p>
      <w:pPr>
        <w:pStyle w:val="Heading2"/>
      </w:pPr>
      <w:r>
        <w:t>Recommended WordPress Resource Links</w:t>
      </w:r>
    </w:p>
    <w:p>
      <w:r>
        <w:rPr>
          <w:b/>
        </w:rPr>
        <w:t xml:space="preserve">Original Lecture Notes: </w:t>
      </w:r>
      <w:r>
        <w:t>AK-L07_The-Dutch-Strategy-in-the-Seventeenth-Century_Original-Lecture-Notes.pdf</w:t>
      </w:r>
    </w:p>
    <w:p>
      <w:r>
        <w:rPr>
          <w:b/>
        </w:rPr>
        <w:t xml:space="preserve">Clean Transcript: </w:t>
      </w:r>
      <w:r>
        <w:t>AK-L07_The-Dutch-Strategy-in-the-Seventeenth-Century_Clean-Transcript.docx</w:t>
      </w:r>
    </w:p>
    <w:p>
      <w:r>
        <w:rPr>
          <w:b/>
        </w:rPr>
        <w:t xml:space="preserve">Lecture Synopsis: </w:t>
      </w:r>
      <w:r>
        <w:t>AK-L07_The-Dutch-Strategy-in-the-Seventeenth-Century_Lecture-Synopsis.docx</w:t>
      </w:r>
    </w:p>
    <w:p>
      <w:r>
        <w:rPr>
          <w:b/>
        </w:rPr>
        <w:t xml:space="preserve">Further Reading: </w:t>
      </w:r>
      <w:r>
        <w:t>AK-L07_The-Dutch-Strategy-in-the-Seventeenth-Century_Further-Reading.docx</w:t>
      </w:r>
    </w:p>
    <w:p>
      <w:pPr>
        <w:pStyle w:val="Heading2"/>
      </w:pPr>
      <w:r>
        <w:t>Archives Page Row</w:t>
      </w:r>
    </w:p>
    <w:p>
      <w:r>
        <w:t>Use this row pattern after uploading the files to the WordPress Media Library and replacing the placeholder URLs:</w:t>
      </w:r>
    </w:p>
    <w:p>
      <w:r>
        <w:t>&lt;tr&gt;</w:t>
        <w:br/>
        <w:t xml:space="preserve">  &lt;td&gt;&lt;a href="/the-dutch-strategy-in-the-seventeenth-century/"&gt;The Dutch Strategy in the Seventeenth Century&lt;/a&gt;&lt;/td&gt;</w:t>
        <w:br/>
        <w:t xml:space="preserve">  &lt;td&gt;PDF 004&lt;/td&gt;</w:t>
        <w:br/>
        <w:t xml:space="preserve">  &lt;td&gt;&lt;a href="PASTE-ORIGINAL-LECTURE-NOTES-PDF-URL-HERE"&gt;PDF&lt;/a&gt;&lt;/td&gt;</w:t>
        <w:br/>
        <w:t xml:space="preserve">  &lt;td&gt;&lt;a href="PASTE-CLEAN-TRANSCRIPT-DOCX-URL-HERE"&gt;DOCX&lt;/a&gt;&lt;/td&gt;</w:t>
        <w:br/>
        <w:t xml:space="preserve">  &lt;td&gt;&lt;a href="PASTE-LECTURE-SYNOPSIS-DOCX-URL-HERE"&gt;DOCX&lt;/a&gt;&lt;/td&gt;</w:t>
        <w:br/>
        <w:t xml:space="preserve">  &lt;td&gt;&lt;a href="PASTE-FURTHER-READING-DOCX-URL-HERE"&gt;DOCX&lt;/a&gt;&lt;/td&gt;</w:t>
        <w:br/>
        <w:t>&lt;/tr&gt;</w:t>
      </w:r>
    </w:p>
    <w:p>
      <w:pPr>
        <w:pStyle w:val="Heading2"/>
      </w:pPr>
      <w:r>
        <w:t>SEO Title</w:t>
      </w:r>
    </w:p>
    <w:p>
      <w:r>
        <w:t>The Dutch Strategy in the Seventeenth Century | Ann Kumar Archive</w:t>
      </w:r>
    </w:p>
    <w:p>
      <w:pPr>
        <w:pStyle w:val="Heading2"/>
      </w:pPr>
      <w:r>
        <w:t>Meta Description</w:t>
      </w:r>
    </w:p>
    <w:p>
      <w:r>
        <w:t>Professor Ann Kumar’s lecture on VOC trade strategy, Coen’s Asian stronghold network, the Moluccan spice monopoly, Makassar, Minangkabau, Surapati and Aceh.</w:t>
      </w:r>
    </w:p>
    <w:p>
      <w:pPr>
        <w:pStyle w:val="Heading2"/>
      </w:pPr>
      <w:r>
        <w:t>Suggested Image Alt Text</w:t>
      </w:r>
    </w:p>
    <w:p>
      <w:pPr>
        <w:ind w:left="360" w:hanging="216"/>
      </w:pPr>
      <w:r>
        <w:rPr>
          <w:b/>
        </w:rPr>
        <w:t xml:space="preserve">• </w:t>
      </w:r>
      <w:r>
        <w:t>Conceptual map of the VOC’s seventeenth-century trade strategy across island Southeast Asia.</w:t>
      </w:r>
    </w:p>
    <w:p>
      <w:pPr>
        <w:ind w:left="360" w:hanging="216"/>
      </w:pPr>
      <w:r>
        <w:rPr>
          <w:b/>
        </w:rPr>
        <w:t xml:space="preserve">• </w:t>
      </w:r>
      <w:r>
        <w:t>Infographic showing how Dutch trade monopoly led to political intervention in the Moluccas, Makassar and Java.</w:t>
      </w:r>
    </w:p>
    <w:p>
      <w:pPr>
        <w:ind w:left="360" w:hanging="216"/>
      </w:pPr>
      <w:r>
        <w:rPr>
          <w:b/>
        </w:rPr>
        <w:t xml:space="preserve">• </w:t>
      </w:r>
      <w:r>
        <w:t>Network diagram showing Batavia, the Moluccas, Makassar, Minangkabau, Banten, Mataram and Aceh in VOC strategy.</w:t>
      </w:r>
    </w:p>
    <w:p>
      <w:pPr>
        <w:pStyle w:val="Heading2"/>
      </w:pPr>
      <w:r>
        <w:t>Proofing Notes</w:t>
      </w:r>
    </w:p>
    <w:p>
      <w:pPr>
        <w:ind w:left="360" w:hanging="216"/>
      </w:pPr>
      <w:r>
        <w:rPr>
          <w:b/>
        </w:rPr>
        <w:t xml:space="preserve">• </w:t>
      </w:r>
      <w:r>
        <w:t>Check spelling of seventeenth-century names: Coen, Cornelis Speelman, Arung Palakka, Surapati, Abulfatah, Sheikh Yusuf, Hamzah Fansuri, Nur al-Din al-Raniri and Abd al-Rauf of Singkel.</w:t>
      </w:r>
    </w:p>
    <w:p>
      <w:pPr>
        <w:ind w:left="360" w:hanging="216"/>
      </w:pPr>
      <w:r>
        <w:rPr>
          <w:b/>
        </w:rPr>
        <w:t xml:space="preserve">• </w:t>
      </w:r>
      <w:r>
        <w:t>Check treaty names and dates, especially the Bongaya Contract and Painan contract.</w:t>
      </w:r>
    </w:p>
    <w:p>
      <w:pPr>
        <w:ind w:left="360" w:hanging="216"/>
      </w:pPr>
      <w:r>
        <w:rPr>
          <w:b/>
        </w:rPr>
        <w:t xml:space="preserve">• </w:t>
      </w:r>
      <w:r>
        <w:t>Confirm whether to keep older spellings such as Moluccas/Maluku, Makassar/Macassar, Aceh/Atjeh and Cirebon/Tjeribon according to archive style.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276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/>
      <w:b/>
      <w:bCs/>
      <w:color w:val="1B3A5C"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/>
      <w:b/>
      <w:bCs/>
      <w:color w:val="1B3A5C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/>
      <w:b/>
      <w:bCs/>
      <w:color w:val="1B3A5C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