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Aptos" w:hAnsi="Aptos"/>
          <w:b/>
          <w:color w:val="C5943A"/>
          <w:sz w:val="18"/>
        </w:rPr>
        <w:t>Professor Ann Kumar Southeast Asian Civilisation Archive</w:t>
      </w:r>
    </w:p>
    <w:p>
      <w:pPr>
        <w:pStyle w:val="Title"/>
        <w:jc w:val="center"/>
      </w:pPr>
      <w:r>
        <w:rPr>
          <w:rFonts w:ascii="Georgia" w:hAnsi="Georgia"/>
          <w:color w:val="1B3A5C"/>
        </w:rPr>
        <w:t>AK-L07: The Dutch Strategy in the Seventeenth Century - Lecture Synopsis</w:t>
      </w:r>
    </w:p>
    <w:p>
      <w:pPr>
        <w:jc w:val="center"/>
      </w:pPr>
      <w:r>
        <w:rPr>
          <w:i/>
          <w:color w:val="4A5568"/>
          <w:sz w:val="22"/>
        </w:rPr>
        <w:t>Brief teaching summary for students and archive visitors.</w:t>
      </w:r>
    </w:p>
    <w:p>
      <w:r>
        <w:t>Resource package: AK-L07_The-Dutch-Strategy-in-the-Seventeenth-Century</w:t>
      </w:r>
    </w:p>
    <w:p>
      <w:r>
        <w:t>Source: PDF Low Res-0004 / AK pdf 004 - Dutch Strategy in the Seventeenth Century; Asian Civilisation IIISE lecture notes.</w:t>
      </w:r>
    </w:p>
    <w:p>
      <w:pPr>
        <w:pStyle w:val="Heading2"/>
      </w:pPr>
      <w:r>
        <w:t>Purpose of the Lecture</w:t>
      </w:r>
    </w:p>
    <w:p>
      <w:r>
        <w:t>This lecture explains how the VOC’s seventeenth-century strategy developed from a maritime trading vision into increasingly coercive monopoly and political intervention. It shows the Dutch moving from small strongholds and trade posts to deeper control over the Moluccas, Makassar, Minangkabau, Banten and Java.</w:t>
      </w:r>
    </w:p>
    <w:p>
      <w:pPr>
        <w:pStyle w:val="Heading2"/>
      </w:pPr>
      <w:r>
        <w:t>Core Argument</w:t>
      </w:r>
    </w:p>
    <w:p>
      <w:r>
        <w:t>The Dutch did not begin with a fully formed plan for territorial colonial empire. Under Coen, the VOC sought a seaborne trade empire: a network of Asian strongholds that would make the Company middleman in inter-Asian and Europe-Asia commerce. But monopoly could not be protected by forts alone. To control trade, the VOC increasingly had to control ports, harbours, land refuges and local political allies. Territorial power emerged from the logic of monopoly.</w:t>
      </w:r>
    </w:p>
    <w:p>
      <w:pPr>
        <w:pStyle w:val="Heading2"/>
      </w:pPr>
      <w:r>
        <w:t>Key Points</w:t>
      </w:r>
    </w:p>
    <w:p>
      <w:r>
        <w:rPr>
          <w:b/>
        </w:rPr>
        <w:t xml:space="preserve">Coen’s vision: </w:t>
      </w:r>
      <w:r>
        <w:t>The VOC sought a trade empire of small strongholds across Asia, not initially a territorial empire.</w:t>
      </w:r>
    </w:p>
    <w:p>
      <w:r>
        <w:rPr>
          <w:b/>
        </w:rPr>
        <w:t xml:space="preserve">Inter-Asian trade: </w:t>
      </w:r>
      <w:r>
        <w:t>The VOC wanted to move Indian textiles, opium, spices and other goods across Asian circuits as well as to Europe.</w:t>
      </w:r>
    </w:p>
    <w:p>
      <w:r>
        <w:rPr>
          <w:b/>
        </w:rPr>
        <w:t xml:space="preserve">Limits of sea power: </w:t>
      </w:r>
      <w:r>
        <w:t>Forts and ships could not fully control traders who used local ports and competing sultanates as refuges.</w:t>
      </w:r>
    </w:p>
    <w:p>
      <w:r>
        <w:rPr>
          <w:b/>
        </w:rPr>
        <w:t xml:space="preserve">Moluccan monopoly: </w:t>
      </w:r>
      <w:r>
        <w:t>The Dutch moved from alliance to violent subjugation, especially in Banda, Ambon, Ceram, Ternate and Tidore.</w:t>
      </w:r>
    </w:p>
    <w:p>
      <w:r>
        <w:rPr>
          <w:b/>
        </w:rPr>
        <w:t xml:space="preserve">Religion and resistance: </w:t>
      </w:r>
      <w:r>
        <w:t>Islam became a rallying point for Moluccan resistance; Christianity was also used by the Dutch for political purposes.</w:t>
      </w:r>
    </w:p>
    <w:p>
      <w:r>
        <w:rPr>
          <w:b/>
        </w:rPr>
        <w:t xml:space="preserve">Makassar as trade centre: </w:t>
      </w:r>
      <w:r>
        <w:t>Makassar became the great anti-Dutch entrepôt after the Moluccan subjugation.</w:t>
      </w:r>
    </w:p>
    <w:p>
      <w:r>
        <w:rPr>
          <w:b/>
        </w:rPr>
        <w:t xml:space="preserve">Bongaya Contract: </w:t>
      </w:r>
      <w:r>
        <w:t>Dutch victory, assisted by Arung Palakka, forced Makassar into overlordship, monopoly and dismantled fortifications.</w:t>
      </w:r>
    </w:p>
    <w:p>
      <w:r>
        <w:rPr>
          <w:b/>
        </w:rPr>
        <w:t xml:space="preserve">Minangkabau: </w:t>
      </w:r>
      <w:r>
        <w:t>Dutch control around Padang was less socially destructive than in the Moluccas because Minangkabau society was agriculturally grounded as well as trade-linked.</w:t>
      </w:r>
    </w:p>
    <w:p>
      <w:r>
        <w:rPr>
          <w:b/>
        </w:rPr>
        <w:t xml:space="preserve">Fragmented polities: </w:t>
      </w:r>
      <w:r>
        <w:t>The VOC was one organisation facing many Indonesian political units, raising the question of pre-colonial Indonesian unity.</w:t>
      </w:r>
    </w:p>
    <w:p>
      <w:r>
        <w:rPr>
          <w:b/>
        </w:rPr>
        <w:t xml:space="preserve">Surapati and networks: </w:t>
      </w:r>
      <w:r>
        <w:t>Surapati shows links between anti-Dutch groups across Banten, Mataram, East Java, Makassar, Malay and Chinese trading communities.</w:t>
      </w:r>
    </w:p>
    <w:p>
      <w:r>
        <w:rPr>
          <w:b/>
        </w:rPr>
        <w:t xml:space="preserve">Aceh’s Islamic world: </w:t>
      </w:r>
      <w:r>
        <w:t>Aceh maintained Muslim scholarly and literary connections despite political decline, showing that Dutch activity was only one strand in the wider regional world.</w:t>
      </w:r>
    </w:p>
    <w:p>
      <w:pPr>
        <w:pStyle w:val="Heading2"/>
      </w:pPr>
      <w:r>
        <w:t>Why It Matters for the Archive</w:t>
      </w:r>
    </w:p>
    <w:p>
      <w:r>
        <w:t>The lecture is one of the key statements of the Colonial Engine hub. It shows that Dutch colonial power developed historically and contingently from commercial strategy, rather than appearing fully formed. It also links VOC expansion to indigenous agency, Islamic networks, Makassarese and Buginese mobility, and the continuing problem of Indonesian identity before the modern nation-state.</w:t>
      </w:r>
    </w:p>
    <w:p>
      <w:pPr>
        <w:pStyle w:val="Heading2"/>
      </w:pPr>
      <w:r>
        <w:t>Suggested Visuals</w:t>
      </w:r>
    </w:p>
    <w:p>
      <w:pPr>
        <w:ind w:left="360" w:hanging="216"/>
      </w:pPr>
      <w:r>
        <w:rPr>
          <w:b/>
        </w:rPr>
        <w:t xml:space="preserve">• </w:t>
      </w:r>
      <w:r>
        <w:t>Infographic: Coen’s Web of Trade - Batavia at the centre, with links to Coromandel, Ceylon, Japan, Vietnam, the Moluccas, Makassar and Java.</w:t>
      </w:r>
    </w:p>
    <w:p>
      <w:pPr>
        <w:ind w:left="360" w:hanging="216"/>
      </w:pPr>
      <w:r>
        <w:rPr>
          <w:b/>
        </w:rPr>
        <w:t xml:space="preserve">• </w:t>
      </w:r>
      <w:r>
        <w:t>Map: The VOC monopoly frontier - Moluccas, Banda, Ambon, Makassar, Padang/Minangkabau, Banten and Mataram.</w:t>
      </w:r>
    </w:p>
    <w:p>
      <w:pPr>
        <w:ind w:left="360" w:hanging="216"/>
      </w:pPr>
      <w:r>
        <w:rPr>
          <w:b/>
        </w:rPr>
        <w:t xml:space="preserve">• </w:t>
      </w:r>
      <w:r>
        <w:t>Flow diagram: Trade monopoly -&gt; need to deny rival harbours -&gt; subjugation of local states -&gt; political intervention -&gt; proto-colonial territorial power.</w:t>
      </w:r>
    </w:p>
    <w:p>
      <w:pPr>
        <w:ind w:left="360" w:hanging="216"/>
      </w:pPr>
      <w:r>
        <w:rPr>
          <w:b/>
        </w:rPr>
        <w:t xml:space="preserve">• </w:t>
      </w:r>
      <w:r>
        <w:t>Network graphic: Surapati’s connections across Batavia, Banten, Mataram, Pasuruan, Makassar, Malay and Chinese anti-Dutch groups.</w:t>
      </w:r>
    </w:p>
    <w:sectPr w:rsidR="00FC693F" w:rsidRPr="0006063C" w:rsidSect="00034616">
      <w:pgSz w:w="12240" w:h="15840"/>
      <w:pgMar w:top="1008" w:right="1152"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line="276" w:lineRule="auto"/>
    </w:pPr>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b/>
      <w:bCs/>
      <w:color w:val="1B3A5C"/>
      <w:sz w:val="4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b/>
      <w:bCs/>
      <w:color w:val="1B3A5C"/>
      <w:sz w:val="30"/>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b/>
      <w:bCs/>
      <w:color w:val="1B3A5C"/>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