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AK-L07: The Dutch Strategy in the Seventeenth Century - Further Reading</w:t>
      </w:r>
    </w:p>
    <w:p>
      <w:pPr>
        <w:jc w:val="center"/>
      </w:pPr>
      <w:r>
        <w:rPr>
          <w:i/>
          <w:color w:val="4A5568"/>
          <w:sz w:val="22"/>
        </w:rPr>
        <w:t>A compact reading guide based on the lecture’s sources and archive context.</w:t>
      </w:r>
    </w:p>
    <w:p>
      <w:r>
        <w:t>Resource package: AK-L07_The-Dutch-Strategy-in-the-Seventeenth-Century</w:t>
      </w:r>
    </w:p>
    <w:p>
      <w:r>
        <w:t>Source: PDF Low Res-0004 / AK pdf 004 - Dutch Strategy in the Seventeenth Century; Asian Civilisation IIISE lecture notes.</w:t>
      </w:r>
    </w:p>
    <w:p>
      <w:pPr>
        <w:pStyle w:val="Heading2"/>
      </w:pPr>
      <w:r>
        <w:t>Reading Note</w:t>
      </w:r>
    </w:p>
    <w:p>
      <w:r>
        <w:t>This lecture should be read with the Mataram, Arung Palakka, Aceh and later VOC decline lectures. It links the VOC’s commercial strategy to the gradual formation of colonial power in the archipelago.</w:t>
      </w:r>
    </w:p>
    <w:p>
      <w:pPr>
        <w:pStyle w:val="Heading2"/>
      </w:pPr>
      <w:r>
        <w:t>Lecture-Linked Scholars and Works</w:t>
      </w:r>
    </w:p>
    <w:p>
      <w:r>
        <w:rPr>
          <w:b/>
        </w:rPr>
        <w:t>H. J. de Graaf, works on seventeenth-century Java, Mataram and Dutch-Indonesian relations.</w:t>
      </w:r>
      <w:r>
        <w:br/>
        <w:t>Essential for the wider Javanese context and VOC involvement in Mataram politics.</w:t>
      </w:r>
    </w:p>
    <w:p>
      <w:r>
        <w:rPr>
          <w:b/>
        </w:rPr>
        <w:t>J. C. van Leur, Indonesian Trade and Society.</w:t>
      </w:r>
      <w:r>
        <w:br/>
        <w:t>Important for understanding inter-Asian trade and the critique of Eurocentric colonial historiography.</w:t>
      </w:r>
    </w:p>
    <w:p>
      <w:r>
        <w:rPr>
          <w:b/>
        </w:rPr>
        <w:t>D. G. E. Hall, A History of South-East Asia.</w:t>
      </w:r>
      <w:r>
        <w:br/>
        <w:t>Useful regional survey for VOC expansion, Moluccas, Makassar and wider Southeast Asian politics.</w:t>
      </w:r>
    </w:p>
    <w:p>
      <w:r>
        <w:rPr>
          <w:b/>
        </w:rPr>
        <w:t>J. S. Furnivall, Netherlands India.</w:t>
      </w:r>
      <w:r>
        <w:br/>
        <w:t>Important background on Dutch institutions and colonial economic systems.</w:t>
      </w:r>
    </w:p>
    <w:p>
      <w:r>
        <w:rPr>
          <w:b/>
        </w:rPr>
        <w:t>B. Schrieke, Indonesian Sociological Studies.</w:t>
      </w:r>
      <w:r>
        <w:br/>
        <w:t>Relevant to Acehnese Islamic literary connections and the movement of Arabic and Persian works into Malay.</w:t>
      </w:r>
    </w:p>
    <w:p>
      <w:r>
        <w:rPr>
          <w:b/>
        </w:rPr>
        <w:t>Syed Muhammad Naquib al-Attas, The Mysticism of Hamzah Fansuri.</w:t>
      </w:r>
      <w:r>
        <w:br/>
        <w:t>Relevant to the Aceh section of the lecture and Malay Sufi literature.</w:t>
      </w:r>
    </w:p>
    <w:p>
      <w:r>
        <w:rPr>
          <w:b/>
        </w:rPr>
        <w:t>Snouck Hurgronje, Mekka in the Latter Part of the 19th Century.</w:t>
      </w:r>
      <w:r>
        <w:br/>
        <w:t>Cited for later perspectives on Acehnese pilgrims and the Muslim world.</w:t>
      </w:r>
    </w:p>
    <w:p>
      <w:r>
        <w:rPr>
          <w:b/>
        </w:rPr>
        <w:t>Sjahrir, Out of Exile.</w:t>
      </w:r>
      <w:r>
        <w:br/>
        <w:t>Relevant to Ambonese identity, colonial military service and the long consequences of early Dutch colonisation.</w:t>
      </w:r>
    </w:p>
    <w:p>
      <w:pPr>
        <w:pStyle w:val="Heading2"/>
      </w:pPr>
      <w:r>
        <w:t>Themes for Students</w:t>
      </w:r>
    </w:p>
    <w:p>
      <w:pPr>
        <w:ind w:left="360" w:hanging="216"/>
      </w:pPr>
      <w:r>
        <w:rPr>
          <w:b/>
        </w:rPr>
        <w:t xml:space="preserve">• </w:t>
      </w:r>
      <w:r>
        <w:t>How does a trading company become a territorial power?</w:t>
      </w:r>
    </w:p>
    <w:p>
      <w:pPr>
        <w:ind w:left="360" w:hanging="216"/>
      </w:pPr>
      <w:r>
        <w:rPr>
          <w:b/>
        </w:rPr>
        <w:t xml:space="preserve">• </w:t>
      </w:r>
      <w:r>
        <w:t>Why did monopoly require control of both sea and land?</w:t>
      </w:r>
    </w:p>
    <w:p>
      <w:pPr>
        <w:ind w:left="360" w:hanging="216"/>
      </w:pPr>
      <w:r>
        <w:rPr>
          <w:b/>
        </w:rPr>
        <w:t xml:space="preserve">• </w:t>
      </w:r>
      <w:r>
        <w:t>How did local states such as Makassar and the Moluccan sultanates respond to VOC pressure?</w:t>
      </w:r>
    </w:p>
    <w:p>
      <w:pPr>
        <w:ind w:left="360" w:hanging="216"/>
      </w:pPr>
      <w:r>
        <w:rPr>
          <w:b/>
        </w:rPr>
        <w:t xml:space="preserve">• </w:t>
      </w:r>
      <w:r>
        <w:t>What does Surapati reveal about communication between anti-Dutch groups?</w:t>
      </w:r>
    </w:p>
    <w:p>
      <w:pPr>
        <w:ind w:left="360" w:hanging="216"/>
      </w:pPr>
      <w:r>
        <w:rPr>
          <w:b/>
        </w:rPr>
        <w:t xml:space="preserve">• </w:t>
      </w:r>
      <w:r>
        <w:t>How does Aceh complicate a Dutch-centred narrative of seventeenth-century Indonesia?</w:t>
      </w:r>
    </w:p>
    <w:p>
      <w:pPr>
        <w:pStyle w:val="Heading2"/>
      </w:pPr>
      <w:r>
        <w:t>Archive Cross-Links</w:t>
      </w:r>
    </w:p>
    <w:p>
      <w:pPr>
        <w:ind w:left="360" w:hanging="216"/>
      </w:pPr>
      <w:r>
        <w:rPr>
          <w:b/>
        </w:rPr>
        <w:t xml:space="preserve">• </w:t>
      </w:r>
      <w:r>
        <w:t>AK-L04: Arung Palakka and South Celebes Politics - for the Buginese ally of the Dutch expedition against Makassar.</w:t>
      </w:r>
    </w:p>
    <w:p>
      <w:pPr>
        <w:ind w:left="360" w:hanging="216"/>
      </w:pPr>
      <w:r>
        <w:rPr>
          <w:b/>
        </w:rPr>
        <w:t xml:space="preserve">• </w:t>
      </w:r>
      <w:r>
        <w:t>AK-L05: The Rise of Mataram - for Javanese political organisation and early VOC involvement.</w:t>
      </w:r>
    </w:p>
    <w:p>
      <w:pPr>
        <w:ind w:left="360" w:hanging="216"/>
      </w:pPr>
      <w:r>
        <w:rPr>
          <w:b/>
        </w:rPr>
        <w:t xml:space="preserve">• </w:t>
      </w:r>
      <w:r>
        <w:t>AK-L06: Aceh: Islamic State, Trade and Scholarship - for the Aceh material that also appears at the end of this lecture.</w:t>
      </w:r>
    </w:p>
    <w:p>
      <w:pPr>
        <w:ind w:left="360" w:hanging="216"/>
      </w:pPr>
      <w:r>
        <w:rPr>
          <w:b/>
        </w:rPr>
        <w:t xml:space="preserve">• </w:t>
      </w:r>
      <w:r>
        <w:t>Future Surapati page/resource - for the connective figure between Banten, Mataram, Batavia and East Java.</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