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AK-L07: The Dutch Strategy in the Seventeenth Century - Clean Transcript</w:t>
      </w:r>
    </w:p>
    <w:p>
      <w:pPr>
        <w:jc w:val="center"/>
      </w:pPr>
      <w:r>
        <w:rPr>
          <w:i/>
          <w:color w:val="4A5568"/>
          <w:sz w:val="22"/>
        </w:rPr>
        <w:t>Edited teaching transcript reconstructed from Professor Ann Kumar’s lecture on VOC trade strategy, monopoly and Southeast Asian political worlds.</w:t>
      </w:r>
    </w:p>
    <w:p>
      <w:r>
        <w:t>Resource package: AK-L07_The-Dutch-Strategy-in-the-Seventeenth-Century</w:t>
      </w:r>
    </w:p>
    <w:p>
      <w:r>
        <w:t>Source: PDF Low Res-0004 / AK pdf 004 - Dutch Strategy in the Seventeenth Century; Asian Civilisation IIISE lecture notes.</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is a teaching edition based on PDF Low Res-0004 and the OCR/transcription files for the Dutch Strategy lecture. Obvious OCR noise has been removed, paragraphing has been improved, and spellings have been regularised where possible. Final scholarly proofing should check names, dates and quoted passages against the original scan.</w:t>
            </w:r>
          </w:p>
        </w:tc>
      </w:tr>
    </w:tbl>
    <w:p/>
    <w:p>
      <w:pPr>
        <w:pStyle w:val="Heading2"/>
      </w:pPr>
      <w:r>
        <w:t>Opening: What Did the Dutch Want?</w:t>
      </w:r>
    </w:p>
    <w:p>
      <w:r>
        <w:t>Professor Kumar begins by turning from Mataram’s own initiatives to the Dutch side of the encounter. Earlier lectures had shown that the initiative in early contacts with the VOC often came from Mataram itself: the attacks on Batavia in 1628 and 1629, and later the Javanese discovery of the usefulness of Dutch assistance. This lecture asks what the Dutch sought from these encounters.</w:t>
      </w:r>
    </w:p>
    <w:p>
      <w:r>
        <w:t>The answer is not a simple desire for territorial empire. In the seventeenth century, the VOC was not primarily interested in Mataram for its own sake. Its involvement in Javanese politics was initially incidental, unplanned, and driven by the wider logic of trade monopoly.</w:t>
      </w:r>
    </w:p>
    <w:p>
      <w:pPr>
        <w:pStyle w:val="Heading2"/>
      </w:pPr>
      <w:r>
        <w:t>Coen’s Vision: A Seaborne Trade Empire</w:t>
      </w:r>
    </w:p>
    <w:p>
      <w:r>
        <w:t>The VOC’s primary aims were defined by J. P. Coen, founder of Batavia. Coen envisaged not a territorial colonial empire but a trade empire based on a network of small strongholds throughout Asia: a town here, an island there.</w:t>
      </w:r>
    </w:p>
    <w:p>
      <w:r>
        <w:t>This was not limited to carrying spices to Europe. Coen wanted the VOC to act as middleman in inter-Asian trade. The Dutch carried Indian textiles to Southeast Asia, imported opium into Indonesia, and operated across a far wider Asian field, from the Coromandel Coast and Ceylon to Vietnam and Japan.</w:t>
      </w:r>
    </w:p>
    <w:p>
      <w:r>
        <w:t>Professor Kumar’s crucial question is whether Coen even conceived of the later Dutch territorial empire. At this point, the VOC’s imagination was commercial and maritime rather than bureaucratic and territorial.</w:t>
      </w:r>
    </w:p>
    <w:p>
      <w:pPr>
        <w:pStyle w:val="Heading2"/>
      </w:pPr>
      <w:r>
        <w:t>Why Forts Were Not Enough</w:t>
      </w:r>
    </w:p>
    <w:p>
      <w:r>
        <w:t>The weakness of the stronghold strategy soon became apparent. Like the Portuguese before them, the Dutch found that long lines of communication were hard to defend from one fort to the next. To control the sea, they increasingly had to control land and harbour refuges.</w:t>
      </w:r>
    </w:p>
    <w:p>
      <w:r>
        <w:t>The Dutch could destroy or outfight much native shipping because of superior artillery, but they could not destroy the shipping of rival Europeans such as the English. European competitors could use local sultanates or city-states as bases, and Asian traders could evade Dutch naval power by making for harbours beyond Dutch control.</w:t>
      </w:r>
    </w:p>
    <w:p>
      <w:r>
        <w:t>Thus the pursuit of monopoly gradually forced the Dutch into the destruction or subjugation of one indigenous state after another. The territorial result grew out of maritime-commercial strategy.</w:t>
      </w:r>
    </w:p>
    <w:p>
      <w:pPr>
        <w:pStyle w:val="Heading2"/>
      </w:pPr>
      <w:r>
        <w:t>The Moluccas: Monopoly and Violence</w:t>
      </w:r>
    </w:p>
    <w:p>
      <w:r>
        <w:t>The first major theatre was the Moluccas. From 1599 to 1605 there was a kind of honeymoon period, during which the Dutch were welcomed as a counterweight to the Portuguese. After 1605, however, islanders realised that the Dutch were creating a far more effective stranglehold.</w:t>
      </w:r>
    </w:p>
    <w:p>
      <w:r>
        <w:t>For the islanders, spices were not merely cash crops. They were needed to obtain rice from Java. The VOC monopoly therefore threatened not only profit but subsistence. The Moluccan sultans signed treaties under pressure, then evaded them as soon as Dutch ships left.</w:t>
      </w:r>
    </w:p>
    <w:p>
      <w:r>
        <w:t>After the founding of Batavia, Coen sent a massive expedition against the Banda Islands in 1621. The native population was virtually wiped out. Ambon, Ceram, Ternate and Tidore were then brought under Dutch power, though not always by such drastic measures.</w:t>
      </w:r>
    </w:p>
    <w:p>
      <w:pPr>
        <w:pStyle w:val="Heading2"/>
      </w:pPr>
      <w:r>
        <w:t>Religion as Rallying Point and Instrument</w:t>
      </w:r>
    </w:p>
    <w:p>
      <w:r>
        <w:t>The basic conflict in the Moluccas was economic, but it sharpened religious antagonism. Islam became a rallying point for Moluccan resistance. On the Dutch side, Christianity was promoted for political reasons, giving rise to so-called rice Christians.</w:t>
      </w:r>
    </w:p>
    <w:p>
      <w:r>
        <w:t>The revolts of 1635 and 1650 were linked to Dutch monopoly enforcement, including the hongi-tochten: regular naval patrols to destroy unlicensed spice trees. The VOC did not want extra cloves or nutmeg reaching the market, where they would lower European prices and weaken monopoly control.</w:t>
      </w:r>
    </w:p>
    <w:p>
      <w:r>
        <w:t>The Moluccas were therefore colonised early and intensively. In this region Dutch rule had especially far-reaching social consequences, including cultural assimilation, the formation of creole identities, Christian communities and later Ambonese military associations.</w:t>
      </w:r>
    </w:p>
    <w:p>
      <w:pPr>
        <w:pStyle w:val="Heading2"/>
      </w:pPr>
      <w:r>
        <w:t>Makassar: The Anti-Dutch Trading Centre</w:t>
      </w:r>
    </w:p>
    <w:p>
      <w:r>
        <w:t>After the subjugation of the Moluccas, the centre of anti-Dutch trade shifted to Makassar. Makassar was well situated for trade with the Moluccas, Java, Banjarmasin, the Lesser Sundas and the southern Philippines.</w:t>
      </w:r>
    </w:p>
    <w:p>
      <w:r>
        <w:t>Its growth was stimulated by Malay migration after the Portuguese capture of Melaka and after Johore was weakened by Acehnese raids. By 1600 Makassar had a large Malay colony and welcomed Chinese, Indian, Arab, Javanese, Portuguese, English, Danish and other traders.</w:t>
      </w:r>
    </w:p>
    <w:p>
      <w:r>
        <w:t>In the early seventeenth century Makassar was Islamised, and its aristocracy began to take a direct part in trade. They hired ships, had vessels built in Java, used Portuguese pilots, acquired firearms and constructed fortifications along European lines.</w:t>
      </w:r>
    </w:p>
    <w:p>
      <w:pPr>
        <w:pStyle w:val="Heading2"/>
      </w:pPr>
      <w:r>
        <w:t>The Bongaya Contract and Dutch Overlordship</w:t>
      </w:r>
    </w:p>
    <w:p>
      <w:r>
        <w:t>Because Makassar breached the Dutch trade monopoly, conflict became inevitable. A Dutch expedition in 1660 produced a treaty requiring the Sultan to expel the Portuguese, but this was not observed.</w:t>
      </w:r>
    </w:p>
    <w:p>
      <w:r>
        <w:t>In 1666 a second expedition under Cornelis Speelman was assisted by Buginese troops under Arung Palakka of Bone, who had his own conflict with the Makassarese kingdom of Goa. After a siege, the Dutch imposed the Bongaya Contract.</w:t>
      </w:r>
    </w:p>
    <w:p>
      <w:r>
        <w:t>The contract forced the Sultan to acknowledge Dutch overlordship, grant the VOC a trade monopoly, dismantle Makassar’s forts except one occupied by a Dutch garrison, expel non-Dutch Europeans and pay an indemnity. Renewed resistance followed, but by 1668 the Sultan had to abdicate and Makassar came under Dutch administration.</w:t>
      </w:r>
    </w:p>
    <w:p>
      <w:pPr>
        <w:pStyle w:val="Heading2"/>
      </w:pPr>
      <w:r>
        <w:t>Consequences for Makassar and the Buginese World</w:t>
      </w:r>
    </w:p>
    <w:p>
      <w:r>
        <w:t>Makassar’s conquest differed from the later Dutch position in much of Java. Makassar was more directly administered, whereas in Java Dutch rule long remained indirect through Javanese structures. Professor Kumar notes that Dutch indirect rule in Java helped reinforce Javanese civilisation and Javanese cultural claims, which later could be resented by groups such as the Makassarese.</w:t>
      </w:r>
    </w:p>
    <w:p>
      <w:r>
        <w:t>The conquest also produced a large Makassarese and Buginese emigration. Makassarese and Buginese communities came to play roles in Siam, Cambodia, Malaya and elsewhere, carrying the consequences of the VOC’s intervention across the wider Southeast Asian world.</w:t>
      </w:r>
    </w:p>
    <w:p>
      <w:pPr>
        <w:pStyle w:val="Heading2"/>
      </w:pPr>
      <w:r>
        <w:t>Minangkabau and the Limits of Disruption</w:t>
      </w:r>
    </w:p>
    <w:p>
      <w:r>
        <w:t>The Dutch also had trading interests in the Minangkabau region around Padang. Although inland, Minangkabau was connected to the trading world through gold and pepper. Aceh had previously held influence over this trade, but the Dutch exploited Minangkabau resentment of Acehnese monopoly.</w:t>
      </w:r>
    </w:p>
    <w:p>
      <w:r>
        <w:t>The Painan contract of 1663 between the Dutch and Minangkabau chiefs gave the VOC a firmer position at Padang. Relations were not always smooth, because Dutch monopoly replaced Acehnese monopoly as a source of resentment.</w:t>
      </w:r>
    </w:p>
    <w:p>
      <w:r>
        <w:t>Yet the Dutch presence in Minangkabau did not have the same devastating consequences as in the Moluccas. The Minangkabau were producers rather than dependent spice traders; they grew pepper but were also wet-rice farmers. They were not dependent on Java for food in the same way as Moluccan islanders.</w:t>
      </w:r>
    </w:p>
    <w:p>
      <w:pPr>
        <w:pStyle w:val="Heading2"/>
      </w:pPr>
      <w:r>
        <w:t>Fragmentation and the Question of Indonesian Unity</w:t>
      </w:r>
    </w:p>
    <w:p>
      <w:r>
        <w:t>By the later seventeenth century, the Dutch had tight control over the Moluccas, controlled Makassar, held a looser position in Minangkabau, and had become involved in the politics of Banten and Mataram.</w:t>
      </w:r>
    </w:p>
    <w:p>
      <w:r>
        <w:t>The VOC was one corporate-political unit dealing with many Indonesian political units. Java itself was divided among Banten, Cirebon, Mataram, Balambangan and other centres. The wider archipelago showed similar fragmentation.</w:t>
      </w:r>
    </w:p>
    <w:p>
      <w:r>
        <w:t>Professor Kumar asks whether modern Indonesia was entirely a Dutch creation, or whether earlier links connected these separate states. At the level of state organisation, she says, there was no unity. But at the personal and social level, certain figures and networks linked developments across the archipelago.</w:t>
      </w:r>
    </w:p>
    <w:p>
      <w:pPr>
        <w:pStyle w:val="Heading2"/>
      </w:pPr>
      <w:r>
        <w:t>Surapati as Connective Figure</w:t>
      </w:r>
    </w:p>
    <w:p>
      <w:r>
        <w:t>Surapati is the key example. He appears in the decades around 1700 as a figure linked to almost every major anti-Dutch group. This is why he later became a national hero of the Indonesian Republic.</w:t>
      </w:r>
    </w:p>
    <w:p>
      <w:r>
        <w:t>Probably a Balinese slave brought to Batavia, Surapati first appears as leader of a band of Balinese fugitives in the uplands. He later served in the VOC army, became involved in the Banten crisis, broke with the Dutch over an insult to Sultan Abulfatah’s personal kris, and escaped to the Mataram court.</w:t>
      </w:r>
    </w:p>
    <w:p>
      <w:r>
        <w:t>At Mataram he allied with the anti-Dutch Patih. After an attack in which the Dutch expedition under Captain Tack suffered heavy losses, Surapati moved to East Java and established a semi-independent principality at Pasuruan. There he attracted Javanese, Makassarese, Malay and Chinese anti-Dutch elements - mostly trading peoples injured by Dutch monopoly.</w:t>
      </w:r>
    </w:p>
    <w:p>
      <w:pPr>
        <w:pStyle w:val="Heading2"/>
      </w:pPr>
      <w:r>
        <w:t>Aceh and Continuing Islamic Connections</w:t>
      </w:r>
    </w:p>
    <w:p>
      <w:r>
        <w:t>Professor Kumar ends by warning that the expansion of Dutch interests did not mean indigenous states became entirely preoccupied with the Dutch. Aceh provides the clearest example of continuing connections with other civilisations.</w:t>
      </w:r>
    </w:p>
    <w:p>
      <w:r>
        <w:t>Even during political decline in the second half of the seventeenth century, Aceh maintained two-way contact with the Muslim Holy Land. Traders from Gujarat and Persia also came to Aceh, bringing Arab and Persian literary works into Malay circulation.</w:t>
      </w:r>
    </w:p>
    <w:p>
      <w:r>
        <w:t>These works included Amir Hamzah romances, Bayan Budiman, Laila and Majnun, Yusuf and Anbiya tales, and mirrors for monarchs such as the Taj as-Salatina and Bustan al-Salatin. Some were adapted into Malay and Javanese.</w:t>
      </w:r>
    </w:p>
    <w:p>
      <w:pPr>
        <w:pStyle w:val="Heading2"/>
      </w:pPr>
      <w:r>
        <w:t>Acehnese Scholarship: Hamzah Fansuri, al-Raniri and Abd al-Rauf</w:t>
      </w:r>
    </w:p>
    <w:p>
      <w:r>
        <w:t>Aceh was also a major religious centre. Professor Kumar highlights Hamzah Fansuri, the mystic poet associated with Barus, Mecca and Malay Sufi literature; Shams al-Din of Pasai, who continued his school; and the orthodox backlash represented by the Gujarati scholar Nur al-Din al-Raniri.</w:t>
      </w:r>
    </w:p>
    <w:p>
      <w:r>
        <w:t>Al-Raniri condemned the heterodox mysticism of Hamzah Fansuri and his followers, and wrote extensively in Arabic and Malay, including the Bustan al-Salatin or Garden of Kings.</w:t>
      </w:r>
    </w:p>
    <w:p>
      <w:r>
        <w:t>The lecture also notes Abd al-Rauf of Singkel, who studied for many years in Arabia before returning to Aceh. His fame spread as far as Java, and after his death he was venerated as Teungku di Kuala.</w:t>
      </w:r>
    </w:p>
    <w:p>
      <w:pPr>
        <w:pStyle w:val="Heading2"/>
      </w:pPr>
      <w:r>
        <w:t>This Lecture in the Archive’s Larger Argument</w:t>
      </w:r>
    </w:p>
    <w:p>
      <w:r>
        <w:t>This lecture belongs to the Colonial Engine hub, but it also touches Indigenous Sovereignty and Islam as a historical force. It shows that Dutch empire did not begin as a territorial blueprint. It emerged from the attempt to monopolise trade, which forced the VOC into ever-deeper intervention in the political worlds of the archipelago.</w:t>
      </w:r>
    </w:p>
    <w:p>
      <w:r>
        <w:t>At the same time, the lecture preserves the archive’s central interpretive balance: the VOC mattered profoundly, but it was only one strand in a Southeast Asian world of Moluccan sultans, Makassarese and Buginese traders, Minangkabau producers, Javanese courts, Islamic scholars and long-distance Muslim networks.</w:t>
      </w:r>
    </w:p>
    <w:p>
      <w:pPr>
        <w:pStyle w:val="Heading2"/>
      </w:pPr>
      <w:r>
        <w:t>Key Terms in the Lecture</w:t>
      </w:r>
    </w:p>
    <w:p>
      <w:r>
        <w:rPr>
          <w:b/>
        </w:rPr>
        <w:t xml:space="preserve">VOC: </w:t>
      </w:r>
      <w:r>
        <w:t>Vereenigde Oostindische Compagnie, the Dutch East India Company.</w:t>
      </w:r>
    </w:p>
    <w:p>
      <w:r>
        <w:rPr>
          <w:b/>
        </w:rPr>
        <w:t xml:space="preserve">J. P. Coen: </w:t>
      </w:r>
      <w:r>
        <w:t>Founder of Batavia and architect of the VOC’s Asian trade-empire vision.</w:t>
      </w:r>
    </w:p>
    <w:p>
      <w:r>
        <w:rPr>
          <w:b/>
        </w:rPr>
        <w:t xml:space="preserve">trade empire: </w:t>
      </w:r>
      <w:r>
        <w:t>A network of forts, factories and monopolies designed to control commerce rather than initially to rule large territories.</w:t>
      </w:r>
    </w:p>
    <w:p>
      <w:r>
        <w:rPr>
          <w:b/>
        </w:rPr>
        <w:t xml:space="preserve">factory: </w:t>
      </w:r>
      <w:r>
        <w:t>A European trading post or commercial station.</w:t>
      </w:r>
    </w:p>
    <w:p>
      <w:r>
        <w:rPr>
          <w:b/>
        </w:rPr>
        <w:t xml:space="preserve">hongi-tochten: </w:t>
      </w:r>
      <w:r>
        <w:t>Dutch naval patrols in the Moluccas used to destroy unlicensed spice trees and enforce monopoly.</w:t>
      </w:r>
    </w:p>
    <w:p>
      <w:r>
        <w:rPr>
          <w:b/>
        </w:rPr>
        <w:t xml:space="preserve">Banda Islands: </w:t>
      </w:r>
      <w:r>
        <w:t>Nutmeg-producing islands violently subjugated by Coen’s expedition in 1621.</w:t>
      </w:r>
    </w:p>
    <w:p>
      <w:r>
        <w:rPr>
          <w:b/>
        </w:rPr>
        <w:t xml:space="preserve">Bongaya Contract: </w:t>
      </w:r>
      <w:r>
        <w:t>The 1667 treaty by which Makassar acknowledged Dutch overlordship and monopoly privileges.</w:t>
      </w:r>
    </w:p>
    <w:p>
      <w:r>
        <w:rPr>
          <w:b/>
        </w:rPr>
        <w:t xml:space="preserve">Arung Palakka: </w:t>
      </w:r>
      <w:r>
        <w:t>Buginese leader from Bone whose forces assisted the Dutch against Makassar/Goa.</w:t>
      </w:r>
    </w:p>
    <w:p>
      <w:r>
        <w:rPr>
          <w:b/>
        </w:rPr>
        <w:t xml:space="preserve">Minangkabau: </w:t>
      </w:r>
      <w:r>
        <w:t>West Sumatran inland society tied to trade through gold and pepper.</w:t>
      </w:r>
    </w:p>
    <w:p>
      <w:r>
        <w:rPr>
          <w:b/>
        </w:rPr>
        <w:t xml:space="preserve">Surapati: </w:t>
      </w:r>
      <w:r>
        <w:t>A probable Balinese slave turned anti-Dutch leader who linked Banten, Mataram, East Java and other anti-Dutch groups.</w:t>
      </w:r>
    </w:p>
    <w:p>
      <w:r>
        <w:rPr>
          <w:b/>
        </w:rPr>
        <w:t xml:space="preserve">Bustan al-Salatin: </w:t>
      </w:r>
      <w:r>
        <w:t>A Malay mirror-for-princes work by Nur al-Din al-Raniri, associated with Acehnese Islamic scholarship.</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