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AK-L20: South Celebes as a Test Case of Indigenous Civilisation</w:t>
      </w:r>
    </w:p>
    <w:p>
      <w:pPr>
        <w:jc w:val="center"/>
      </w:pPr>
      <w:r>
        <w:rPr>
          <w:rFonts w:ascii="Garamond" w:hAnsi="Garamond" w:eastAsia="Garamond"/>
          <w:i/>
          <w:color w:val="425466"/>
          <w:sz w:val="24"/>
        </w:rPr>
        <w:t>Lecture Synopsis</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Resource type</w:t>
            </w:r>
          </w:p>
        </w:tc>
        <w:tc>
          <w:tcPr>
            <w:tcW w:type="dxa" w:w="4968"/>
          </w:tcPr>
          <w:p>
            <w:r>
              <w:t>Lecture Synopsis</w:t>
            </w:r>
          </w:p>
        </w:tc>
      </w:tr>
      <w:tr>
        <w:tc>
          <w:tcPr>
            <w:tcW w:type="dxa" w:w="4968"/>
            <w:shd w:fill="F5F0E6"/>
          </w:tcPr>
          <w:p>
            <w:r>
              <w:rPr>
                <w:b/>
                <w:color w:val="173B5F"/>
              </w:rPr>
              <w:t>Hub</w:t>
            </w:r>
          </w:p>
        </w:tc>
        <w:tc>
          <w:tcPr>
            <w:tcW w:type="dxa" w:w="4968"/>
          </w:tcPr>
          <w:p>
            <w:r>
              <w:t>Indigenous Sovereignty</w:t>
            </w:r>
          </w:p>
        </w:tc>
      </w:tr>
      <w:tr>
        <w:tc>
          <w:tcPr>
            <w:tcW w:type="dxa" w:w="4968"/>
            <w:shd w:fill="F5F0E6"/>
          </w:tcPr>
          <w:p>
            <w:r>
              <w:rPr>
                <w:b/>
                <w:color w:val="173B5F"/>
              </w:rPr>
              <w:t>Status</w:t>
            </w:r>
          </w:p>
        </w:tc>
        <w:tc>
          <w:tcPr>
            <w:tcW w:type="dxa" w:w="4968"/>
          </w:tcPr>
          <w:p>
            <w:r>
              <w:t>Breakout/enrichment resource</w:t>
            </w:r>
          </w:p>
        </w:tc>
      </w:tr>
      <w:tr>
        <w:tc>
          <w:tcPr>
            <w:tcW w:type="dxa" w:w="4968"/>
            <w:shd w:fill="F5F0E6"/>
          </w:tcPr>
          <w:p>
            <w:r>
              <w:rPr>
                <w:b/>
                <w:color w:val="173B5F"/>
              </w:rPr>
              <w:t>Source</w:t>
            </w:r>
          </w:p>
        </w:tc>
        <w:tc>
          <w:tcPr>
            <w:tcW w:type="dxa" w:w="4968"/>
          </w:tcPr>
          <w:p>
            <w:r>
              <w:t>PDF 007, Macknight and Noorduyn sections</w:t>
            </w:r>
          </w:p>
        </w:tc>
      </w:tr>
    </w:tbl>
    <w:p/>
    <w:p>
      <w:pPr>
        <w:pStyle w:val="Heading2"/>
      </w:pPr>
      <w:r>
        <w:t>Overview</w:t>
      </w:r>
    </w:p>
    <w:p>
      <w:r>
        <w:t>This resource draws out Professor Kumar’s concluding South Celebes material as a compact study of indigenous civilisational vitality. The focus is Macknight’s argument that South Celebes can be treated as a test case for the independent emergence of civilisation in island Southeast Asia, and Noorduyn’s evidence for a distinctive Buginese and Makassarese documentary culture.</w:t>
      </w:r>
    </w:p>
    <w:p>
      <w:pPr>
        <w:pStyle w:val="Heading2"/>
      </w:pPr>
      <w:r>
        <w:t>Core argument</w:t>
      </w:r>
    </w:p>
    <w:p>
      <w:r>
        <w:t>South Celebes challenges diffusionist assumptions. Its political structures, historical writing, diaries, technical notes and maritime knowledge show that Southeast Asian societies generated their own forms of order and knowledge before major Muslim or European influence, and with only minimal Indian influence.</w:t>
      </w:r>
    </w:p>
    <w:p>
      <w:pPr>
        <w:pStyle w:val="Heading2"/>
      </w:pPr>
      <w:r>
        <w:t>Key points for students</w:t>
      </w:r>
    </w:p>
    <w:p>
      <w:pPr>
        <w:pStyle w:val="ListBullet"/>
      </w:pPr>
      <w:r>
        <w:t>Macknight characterises seventeenth-century South Celebes as civilised, though not necessarily urban.</w:t>
      </w:r>
    </w:p>
    <w:p>
      <w:pPr>
        <w:pStyle w:val="ListBullet"/>
      </w:pPr>
      <w:r>
        <w:t>The South Celebes case developed before significant Muslim or European influence and without the strong Indian tradition familiar elsewhere in Southeast Asia.</w:t>
      </w:r>
    </w:p>
    <w:p>
      <w:pPr>
        <w:pStyle w:val="ListBullet"/>
      </w:pPr>
      <w:r>
        <w:t>Noorduyn identifies South Celebes chronicles as comparatively dry, factual and non-poetical, drawing on historical diary traditions.</w:t>
      </w:r>
    </w:p>
    <w:p>
      <w:pPr>
        <w:pStyle w:val="ListBullet"/>
      </w:pPr>
      <w:r>
        <w:t>Royal diaries recorded court affairs, expeditions and pacts, but also eclipses, earthquakes, comets and unusual objects such as an elephant from a Portuguese merchant.</w:t>
      </w:r>
    </w:p>
    <w:p>
      <w:pPr>
        <w:pStyle w:val="ListBullet"/>
      </w:pPr>
      <w:r>
        <w:t>Private diaries and notebooks preserved practical knowledge about weapons, ships, houses, fishing implements, finances, inventories, laws and customs.</w:t>
      </w:r>
    </w:p>
    <w:p>
      <w:pPr>
        <w:pStyle w:val="ListBullet"/>
      </w:pPr>
      <w:r>
        <w:t>Translations of Spanish artillery and gunpowder works and Buginese sea maps show a practical and outward-looking knowledge culture.</w:t>
      </w:r>
    </w:p>
    <w:p>
      <w:pPr>
        <w:pStyle w:val="ListBullet"/>
      </w:pPr>
      <w:r>
        <w:t>The material supports the archive’s emphasis on indigenous agency and civilisational self-sufficiency.</w:t>
      </w:r>
    </w:p>
    <w:p>
      <w:pPr>
        <w:pStyle w:val="Heading2"/>
      </w:pPr>
      <w:r>
        <w:t>Why this package matters</w:t>
      </w:r>
    </w:p>
    <w:p>
      <w:r>
        <w:t>This package gives conceptual force to the Indigenous Sovereignty hub. It shows that Buginese and Makassarese history should not be treated merely as local politics or as background to Dutch expansion, but as evidence of a sophisticated indigenous world of governance, writing and practical knowledge.</w:t>
      </w:r>
    </w:p>
    <w:p>
      <w:pPr>
        <w:pStyle w:val="Heading2"/>
      </w:pPr>
      <w:r>
        <w:t>Suggested classroom questions</w:t>
      </w:r>
    </w:p>
    <w:p>
      <w:pPr>
        <w:pStyle w:val="ListBullet"/>
      </w:pPr>
      <w:r>
        <w:t>What does it mean to call South Celebes “civilised” but not necessarily “urban”?</w:t>
      </w:r>
    </w:p>
    <w:p>
      <w:pPr>
        <w:pStyle w:val="ListBullet"/>
      </w:pPr>
      <w:r>
        <w:t>Why is the timing of South Celebes civilisation important for Macknight’s argument?</w:t>
      </w:r>
    </w:p>
    <w:p>
      <w:pPr>
        <w:pStyle w:val="ListBullet"/>
      </w:pPr>
      <w:r>
        <w:t>How does documentary culture support the claim of indigenous civilisational vitality?</w:t>
      </w:r>
    </w:p>
    <w:p>
      <w:pPr>
        <w:pStyle w:val="ListBullet"/>
      </w:pPr>
      <w:r>
        <w:t>How does South Celebes complicate older diffusionist models of Southeast Asian history?</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