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Garamond" w:hAnsi="Garamond" w:eastAsia="Garamond"/>
          <w:b/>
          <w:color w:val="173B5F"/>
          <w:sz w:val="40"/>
        </w:rPr>
        <w:t>AK-L20: South Celebes as a Test Case of Indigenous Civilisation</w:t>
      </w:r>
    </w:p>
    <w:p>
      <w:pPr>
        <w:jc w:val="center"/>
      </w:pPr>
      <w:r>
        <w:rPr>
          <w:rFonts w:ascii="Garamond" w:hAnsi="Garamond" w:eastAsia="Garamond"/>
          <w:i/>
          <w:color w:val="425466"/>
          <w:sz w:val="24"/>
        </w:rPr>
        <w:t>Further Reading</w:t>
      </w:r>
    </w:p>
    <w:p/>
    <w:p>
      <w:pPr>
        <w:pStyle w:val="Heading2"/>
      </w:pPr>
      <w:r>
        <w:t>Core readings from Professor Kumar’s notes</w:t>
      </w:r>
    </w:p>
    <w:p>
      <w:pPr>
        <w:pStyle w:val="Heading3"/>
      </w:pPr>
      <w:r>
        <w:t>C. C. Macknight</w:t>
      </w:r>
    </w:p>
    <w:p>
      <w:r>
        <w:t>“The Emergence of Civilization in South Celebes and Elsewhere in Island Southeast Asia”</w:t>
      </w:r>
    </w:p>
    <w:p>
      <w:r>
        <w:t>Central reading for the “test case” argument. Macknight’s point is that South Celebes offers evidence for indigenous civilisational vitality before strong external influence.</w:t>
      </w:r>
    </w:p>
    <w:p>
      <w:pPr>
        <w:pStyle w:val="Heading3"/>
      </w:pPr>
      <w:r>
        <w:t>K. J. Noorduyn</w:t>
      </w:r>
    </w:p>
    <w:p>
      <w:r>
        <w:t>“Origins of South Celebes Historical Writing,” in Soedjatmoko et al., eds., An Introduction to Indonesian Historiography</w:t>
      </w:r>
    </w:p>
    <w:p>
      <w:r>
        <w:t>Essential for understanding the South Celebes chronicle and diary tradition, including royal diaries, practical notebooks and factual historical writing.</w:t>
      </w:r>
    </w:p>
    <w:p>
      <w:pPr>
        <w:pStyle w:val="Heading3"/>
      </w:pPr>
      <w:r>
        <w:t>Soedjatmoko et al., editors</w:t>
      </w:r>
    </w:p>
    <w:p>
      <w:r>
        <w:t>An Introduction to Indonesian Historiography</w:t>
      </w:r>
    </w:p>
    <w:p>
      <w:r>
        <w:t>Useful for placing South Celebes writing within the broader landscape of Indonesian historical traditions.</w:t>
      </w:r>
    </w:p>
    <w:p>
      <w:pPr>
        <w:pStyle w:val="Heading3"/>
      </w:pPr>
      <w:r>
        <w:t>Leonard Y. Andaya</w:t>
      </w:r>
    </w:p>
    <w:p>
      <w:r>
        <w:t>Works on South Sulawesi, Bone, Goa/Gowa and Arung Palakka</w:t>
      </w:r>
    </w:p>
    <w:p>
      <w:r>
        <w:t>Important for later scholarship on South Sulawesi political history, the seventeenth-century eastern archipelago and the Arung Palakka period.</w:t>
      </w:r>
    </w:p>
    <w:p>
      <w:pPr>
        <w:pStyle w:val="Heading3"/>
      </w:pPr>
      <w:r>
        <w:t>Anthony Reid</w:t>
      </w:r>
    </w:p>
    <w:p>
      <w:r>
        <w:t>Works on Southeast Asian trade and early modern maritime society</w:t>
      </w:r>
    </w:p>
    <w:p>
      <w:r>
        <w:t>Useful for situating Buginese and Makassarese expansion within the wider age of commerce and maritime Southeast Asia.</w:t>
      </w:r>
    </w:p>
    <w:p>
      <w:pPr>
        <w:pStyle w:val="Heading2"/>
      </w:pPr>
      <w:r>
        <w:t>Useful themes for further research</w:t>
      </w:r>
    </w:p>
    <w:p>
      <w:pPr>
        <w:pStyle w:val="ListBullet"/>
      </w:pPr>
      <w:r>
        <w:t>Buginese historical writing</w:t>
      </w:r>
    </w:p>
    <w:p>
      <w:pPr>
        <w:pStyle w:val="ListBullet"/>
      </w:pPr>
      <w:r>
        <w:t>Makassarese and Buginese diaries</w:t>
      </w:r>
    </w:p>
    <w:p>
      <w:pPr>
        <w:pStyle w:val="ListBullet"/>
      </w:pPr>
      <w:r>
        <w:t>South Sulawesi documentary culture</w:t>
      </w:r>
    </w:p>
    <w:p>
      <w:pPr>
        <w:pStyle w:val="ListBullet"/>
      </w:pPr>
      <w:r>
        <w:t>Lontara manuscripts</w:t>
      </w:r>
    </w:p>
    <w:p>
      <w:pPr>
        <w:pStyle w:val="ListBullet"/>
      </w:pPr>
      <w:r>
        <w:t>Buginese sea maps</w:t>
      </w:r>
    </w:p>
    <w:p>
      <w:pPr>
        <w:pStyle w:val="ListBullet"/>
      </w:pPr>
      <w:r>
        <w:t>indigenous historiography in Southeast Asia</w:t>
      </w:r>
    </w:p>
    <w:p>
      <w:pPr>
        <w:pStyle w:val="ListBullet"/>
      </w:pPr>
      <w:r>
        <w:t>South Celebes civilisation</w:t>
      </w:r>
    </w:p>
    <w:p>
      <w:pPr>
        <w:pStyle w:val="ListBullet"/>
      </w:pPr>
      <w:r>
        <w:t>C. C. Macknight South Celebes</w:t>
      </w:r>
    </w:p>
    <w:p>
      <w:pPr>
        <w:pStyle w:val="ListBullet"/>
      </w:pPr>
      <w:r>
        <w:t>K. J. Noorduyn historical writing</w:t>
      </w:r>
    </w:p>
    <w:p>
      <w:pPr>
        <w:pStyle w:val="Heading2"/>
      </w:pPr>
      <w:r>
        <w:t>Research note</w:t>
      </w:r>
    </w:p>
    <w:p>
      <w:r>
        <w:t>For public-facing bibliography, verify full journal or chapter details and page ranges for Macknight and Noorduyn before upload. This resource intentionally privileges the texts Professor Kumar herself cited in the lecture notes.</w:t>
      </w:r>
    </w:p>
    <w:sectPr w:rsidR="00FC693F" w:rsidRPr="0006063C" w:rsidSect="00034616">
      <w:pgSz w:w="12240" w:h="15840"/>
      <w:pgMar w:top="1080" w:right="1152" w:bottom="1080"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line="269" w:lineRule="auto"/>
    </w:pPr>
    <w:rPr>
      <w:rFonts w:ascii="Garamond" w:hAnsi="Garamond" w:eastAsia="Garamond"/>
      <w:sz w:val="23"/>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00" w:after="120"/>
      <w:outlineLvl w:val="0"/>
    </w:pPr>
    <w:rPr>
      <w:rFonts w:asciiTheme="majorHAnsi" w:eastAsiaTheme="majorEastAsia" w:hAnsiTheme="majorHAnsi" w:cstheme="majorBidi" w:ascii="Garamond" w:hAnsi="Garamond" w:eastAsia="Garamond"/>
      <w:b/>
      <w:bCs/>
      <w:color w:val="173B5F"/>
      <w:sz w:val="40"/>
      <w:szCs w:val="28"/>
    </w:rPr>
  </w:style>
  <w:style w:type="paragraph" w:styleId="Heading2">
    <w:name w:val="heading 2"/>
    <w:basedOn w:val="Normal"/>
    <w:next w:val="Normal"/>
    <w:link w:val="Heading2Char"/>
    <w:uiPriority w:val="9"/>
    <w:unhideWhenUsed/>
    <w:qFormat/>
    <w:rsid w:val="00FC693F"/>
    <w:pPr>
      <w:keepNext/>
      <w:keepLines/>
      <w:spacing w:before="200" w:after="120"/>
      <w:outlineLvl w:val="1"/>
    </w:pPr>
    <w:rPr>
      <w:rFonts w:asciiTheme="majorHAnsi" w:eastAsiaTheme="majorEastAsia" w:hAnsiTheme="majorHAnsi" w:cstheme="majorBidi" w:ascii="Garamond" w:hAnsi="Garamond" w:eastAsia="Garamond"/>
      <w:b/>
      <w:bCs/>
      <w:color w:val="173B5F"/>
      <w:sz w:val="30"/>
      <w:szCs w:val="26"/>
    </w:rPr>
  </w:style>
  <w:style w:type="paragraph" w:styleId="Heading3">
    <w:name w:val="heading 3"/>
    <w:basedOn w:val="Normal"/>
    <w:next w:val="Normal"/>
    <w:link w:val="Heading3Char"/>
    <w:uiPriority w:val="9"/>
    <w:unhideWhenUsed/>
    <w:qFormat/>
    <w:rsid w:val="00FC693F"/>
    <w:pPr>
      <w:keepNext/>
      <w:keepLines/>
      <w:spacing w:before="200" w:after="120"/>
      <w:outlineLvl w:val="2"/>
    </w:pPr>
    <w:rPr>
      <w:rFonts w:asciiTheme="majorHAnsi" w:eastAsiaTheme="majorEastAsia" w:hAnsiTheme="majorHAnsi" w:cstheme="majorBidi" w:ascii="Garamond" w:hAnsi="Garamond" w:eastAsia="Garamond"/>
      <w:b/>
      <w:bCs/>
      <w:color w:val="173B5F"/>
      <w:sz w:val="25"/>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