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Garamond" w:hAnsi="Garamond" w:eastAsia="Garamond"/>
          <w:b/>
          <w:color w:val="173B5F"/>
          <w:sz w:val="40"/>
        </w:rPr>
        <w:t>AK-L20: South Celebes as a Test Case of Indigenous Civilisation</w:t>
      </w:r>
    </w:p>
    <w:p>
      <w:pPr>
        <w:jc w:val="center"/>
      </w:pPr>
      <w:r>
        <w:rPr>
          <w:rFonts w:ascii="Garamond" w:hAnsi="Garamond" w:eastAsia="Garamond"/>
          <w:i/>
          <w:color w:val="425466"/>
          <w:sz w:val="24"/>
        </w:rPr>
        <w:t>Clean Transcript</w:t>
      </w:r>
    </w:p>
    <w:p/>
    <w:tbl>
      <w:tblPr>
        <w:tblStyle w:val="TableGrid"/>
        <w:tblW w:type="auto" w:w="0"/>
        <w:tblLook w:firstColumn="1" w:firstRow="1" w:lastColumn="0" w:lastRow="0" w:noHBand="0" w:noVBand="1" w:val="04A0"/>
      </w:tblPr>
      <w:tblGrid>
        <w:gridCol w:w="4968"/>
        <w:gridCol w:w="4968"/>
      </w:tblGrid>
      <w:tr>
        <w:tc>
          <w:tcPr>
            <w:tcW w:type="dxa" w:w="4968"/>
            <w:shd w:fill="F5F0E6"/>
          </w:tcPr>
          <w:p>
            <w:r>
              <w:rPr>
                <w:b/>
                <w:color w:val="173B5F"/>
              </w:rPr>
              <w:t>Archive</w:t>
            </w:r>
          </w:p>
        </w:tc>
        <w:tc>
          <w:tcPr>
            <w:tcW w:type="dxa" w:w="4968"/>
          </w:tcPr>
          <w:p>
            <w:r>
              <w:t>Professor Ann Kumar Southeast Asian Civilisation Archive</w:t>
            </w:r>
          </w:p>
        </w:tc>
      </w:tr>
      <w:tr>
        <w:tc>
          <w:tcPr>
            <w:tcW w:type="dxa" w:w="4968"/>
            <w:shd w:fill="F5F0E6"/>
          </w:tcPr>
          <w:p>
            <w:r>
              <w:rPr>
                <w:b/>
                <w:color w:val="173B5F"/>
              </w:rPr>
              <w:t>Lecture package</w:t>
            </w:r>
          </w:p>
        </w:tc>
        <w:tc>
          <w:tcPr>
            <w:tcW w:type="dxa" w:w="4968"/>
          </w:tcPr>
          <w:p>
            <w:r>
              <w:t>AK-L20</w:t>
            </w:r>
          </w:p>
        </w:tc>
      </w:tr>
      <w:tr>
        <w:tc>
          <w:tcPr>
            <w:tcW w:type="dxa" w:w="4968"/>
            <w:shd w:fill="F5F0E6"/>
          </w:tcPr>
          <w:p>
            <w:r>
              <w:rPr>
                <w:b/>
                <w:color w:val="173B5F"/>
              </w:rPr>
              <w:t>Source</w:t>
            </w:r>
          </w:p>
        </w:tc>
        <w:tc>
          <w:tcPr>
            <w:tcW w:type="dxa" w:w="4968"/>
          </w:tcPr>
          <w:p>
            <w:r>
              <w:t>Breakout/enrichment from PDF 007: Buginese communities, Macknight and Noorduyn material</w:t>
            </w:r>
          </w:p>
        </w:tc>
      </w:tr>
      <w:tr>
        <w:tc>
          <w:tcPr>
            <w:tcW w:type="dxa" w:w="4968"/>
            <w:shd w:fill="F5F0E6"/>
          </w:tcPr>
          <w:p>
            <w:r>
              <w:rPr>
                <w:b/>
                <w:color w:val="173B5F"/>
              </w:rPr>
              <w:t>Prepared resource type</w:t>
            </w:r>
          </w:p>
        </w:tc>
        <w:tc>
          <w:tcPr>
            <w:tcW w:type="dxa" w:w="4968"/>
          </w:tcPr>
          <w:p>
            <w:r>
              <w:t>Clean Transcript</w:t>
            </w:r>
          </w:p>
        </w:tc>
      </w:tr>
      <w:tr>
        <w:tc>
          <w:tcPr>
            <w:tcW w:type="dxa" w:w="4968"/>
            <w:shd w:fill="F5F0E6"/>
          </w:tcPr>
          <w:p>
            <w:r>
              <w:rPr>
                <w:b/>
                <w:color w:val="173B5F"/>
              </w:rPr>
              <w:t>Status</w:t>
            </w:r>
          </w:p>
        </w:tc>
        <w:tc>
          <w:tcPr>
            <w:tcW w:type="dxa" w:w="4968"/>
          </w:tcPr>
          <w:p>
            <w:r>
              <w:t>Working clean copy - enrichment resource; final scholarly proofing recommended</w:t>
            </w:r>
          </w:p>
        </w:tc>
      </w:tr>
    </w:tbl>
    <w:p/>
    <w:tbl>
      <w:tblPr>
        <w:tblStyle w:val="TableGrid"/>
        <w:tblW w:type="auto" w:w="0"/>
        <w:tblLook w:firstColumn="1" w:firstRow="1" w:lastColumn="0" w:lastRow="0" w:noHBand="0" w:noVBand="1" w:val="04A0"/>
      </w:tblPr>
      <w:tblGrid>
        <w:gridCol w:w="9936"/>
      </w:tblGrid>
      <w:tr>
        <w:tc>
          <w:tcPr>
            <w:tcW w:type="dxa" w:w="9936"/>
            <w:shd w:fill="FFF4DD"/>
          </w:tcPr>
          <w:p>
            <w:r>
              <w:rPr>
                <w:b/>
                <w:color w:val="173B5F"/>
                <w:sz w:val="24"/>
              </w:rPr>
              <w:t>Archive note</w:t>
            </w:r>
          </w:p>
          <w:p>
            <w:r>
              <w:t>This item is presented as an enrichment or breakout package. It is not currently confirmed as a separate lecture title in Professor Kumar’s supplied material, but it draws directly from the South Celebes material following the Buginese kingship and Arung Palakka sections.</w:t>
            </w:r>
          </w:p>
        </w:tc>
      </w:tr>
    </w:tbl>
    <w:p/>
    <w:p>
      <w:pPr>
        <w:pStyle w:val="Heading2"/>
      </w:pPr>
      <w:r>
        <w:t>Context: South-west Celebes after the Buginese kingship material</w:t>
      </w:r>
    </w:p>
    <w:p>
      <w:r>
        <w:t>This breakout resource follows Professor Kumar's discussion of Buginese kingship and Arung Palakka. It draws together the concluding material in which South Celebes is presented as a test case for the vitality of indigenous Southeast Asian civilisation.</w:t>
      </w:r>
    </w:p>
    <w:p>
      <w:r>
        <w:t>The point is not simply that South Celebes possessed rulers, councils and origin myths. The stronger claim is that Buginese and Makassarese societies developed forms of political order, writing, historical consciousness and practical record-keeping that cannot be reduced to Indian, Islamic, Chinese or European diffusion.</w:t>
      </w:r>
    </w:p>
    <w:p>
      <w:pPr>
        <w:pStyle w:val="Heading2"/>
      </w:pPr>
      <w:r>
        <w:t>Macknight: South Celebes as a test case</w:t>
      </w:r>
    </w:p>
    <w:p>
      <w:r>
        <w:t>Professor Kumar cites C. C. Macknight's argument on the emergence of civilisation in South Celebes. Macknight hesitates to describe seventeenth-century South Celebes as an urban society, but argues that it can fairly be characterised as civilised.</w:t>
      </w:r>
    </w:p>
    <w:p>
      <w:r>
        <w:t>The significance of this claim lies in timing and causation. Macknight stresses that this civilisation arose before significant Muslim or European influence, and with only the merest trace of the Indian tradition so familiar elsewhere in Southeast Asia.</w:t>
      </w:r>
    </w:p>
    <w:p>
      <w:r>
        <w:t>South Celebes therefore has some claim to be regarded as a test case of the vitality of indigenous Southeast Asian cultures. It challenges the older view of Southeast Asia as a fringe area developing late through slow diffusion from other civilisational centres.</w:t>
      </w:r>
    </w:p>
    <w:p>
      <w:pPr>
        <w:pStyle w:val="Heading2"/>
      </w:pPr>
      <w:r>
        <w:t>Noorduyn: the origins of South Celebes historical writing</w:t>
      </w:r>
    </w:p>
    <w:p>
      <w:r>
        <w:t>Professor Kumar then turns to K. J. Noorduyn's work on the origins of South Celebes historical writing. Noorduyn describes the South Celebes chronicles as dry, factual and non-poetical by comparison with Javanese historiography.</w:t>
      </w:r>
    </w:p>
    <w:p>
      <w:r>
        <w:t>Their sources seem to have been the historical diaries of the region. Royal diaries recorded births, marriages, deaths and other events in royal families and court affairs, but they also recorded expeditions, pacts, visits and extraordinary natural phenomena such as eclipses, earthquakes and comets.</w:t>
      </w:r>
    </w:p>
    <w:p>
      <w:r>
        <w:t>The diaries also recorded unexpected events, including the arrival of an elephant presented by a Portuguese merchant. This points to a habit of observation and documentation that ranged from court politics to natural phenomena and material curiosities.</w:t>
      </w:r>
    </w:p>
    <w:p>
      <w:pPr>
        <w:pStyle w:val="Heading2"/>
      </w:pPr>
      <w:r>
        <w:t>A documentary culture of practical knowledge</w:t>
      </w:r>
    </w:p>
    <w:p>
      <w:r>
        <w:t>Professor Kumar emphasises that this habit of diary keeping seems to have been confined to South Celebes and to peoples who came under South Celebes cultural influence. It was not found in the same form in Javanese or Malay literature.</w:t>
      </w:r>
    </w:p>
    <w:p>
      <w:r>
        <w:t>In South Celebes there appears to have been a real urge to record facts, especially during the period of Makassarese and Buginese cultural expansion. The recorded material was not confined to royal genealogy or court ceremonial. It included practical and material information: weapons, fishing implements, houses, ships, financial matters, inventories, laws and customs.</w:t>
      </w:r>
    </w:p>
    <w:p>
      <w:r>
        <w:t>Pages of diaries were deliberately left open for such entries, and separate notebooks were also used. Professor Kumar notes the existence of translations of Spanish works on artillery and the making of gunpowder, as well as Buginese sea maps with precise geographical annotations.</w:t>
      </w:r>
    </w:p>
    <w:p>
      <w:pPr>
        <w:pStyle w:val="Heading2"/>
      </w:pPr>
      <w:r>
        <w:t>Calendars, writing and cultural independence</w:t>
      </w:r>
    </w:p>
    <w:p>
      <w:r>
        <w:t>Writing in this region seems to have begun comparatively late, perhaps in the fifteenth or sixteenth century. Both the Christian and Muslim calendars appear to have been known before conversion to Islam, with the Christian calendar apparently used by preference.</w:t>
      </w:r>
    </w:p>
    <w:p>
      <w:r>
        <w:t>The importance of this material lies in its independence. The South Celebes evidence shows a documentary and political culture developing in a local setting, shaped by indigenous needs, maritime expansion and practical statecraft rather than by passive borrowing from an external civilisation.</w:t>
      </w:r>
    </w:p>
    <w:p>
      <w:pPr>
        <w:pStyle w:val="Heading2"/>
      </w:pPr>
      <w:r>
        <w:t>Archive interpretation</w:t>
      </w:r>
    </w:p>
    <w:p>
      <w:r>
        <w:t>This breakout page is best treated as an enrichment resource rather than a separate formal lecture. It supports the Indigenous Sovereignty hub by making explicit one of the archive's central themes: Southeast Asian societies were not empty recipients of influence, but active civilisational worlds with their own political theories, documentary habits and forms of knowledge.</w:t>
      </w:r>
    </w:p>
    <w:tbl>
      <w:tblPr>
        <w:tblStyle w:val="TableGrid"/>
        <w:tblW w:type="auto" w:w="0"/>
        <w:tblLook w:firstColumn="1" w:firstRow="1" w:lastColumn="0" w:lastRow="0" w:noHBand="0" w:noVBand="1" w:val="04A0"/>
      </w:tblPr>
      <w:tblGrid>
        <w:gridCol w:w="9936"/>
      </w:tblGrid>
      <w:tr>
        <w:tc>
          <w:tcPr>
            <w:tcW w:type="dxa" w:w="9936"/>
            <w:shd w:fill="EAF4F8"/>
          </w:tcPr>
          <w:p>
            <w:r>
              <w:rPr>
                <w:b/>
                <w:color w:val="173B5F"/>
                <w:sz w:val="24"/>
              </w:rPr>
              <w:t>Technical Vitality: Documentary Culture</w:t>
            </w:r>
          </w:p>
          <w:p>
            <w:r>
              <w:t>A documentary culture is a social habit of preserving information through written records: diaries, chronicles, inventories, maps, legal notes, technical manuals and practical notebooks. In Professor Kumar’s South Celebes material, this becomes evidence of indigenous civilisational vitality.</w:t>
            </w:r>
          </w:p>
        </w:tc>
      </w:tr>
    </w:tbl>
    <w:p/>
    <w:p>
      <w:pPr>
        <w:pStyle w:val="Heading2"/>
      </w:pPr>
      <w:r>
        <w:t>Proofing note</w:t>
      </w:r>
    </w:p>
    <w:p>
      <w:r>
        <w:t>Check all quotations and page references from C. C. Macknight and K. J. Noorduyn against the original scan before final publication. The modern page title is editorial and should be marked as a breakout/enrichment resource if Dr Kumar reviews the archive structure.</w:t>
      </w:r>
    </w:p>
    <w:sectPr w:rsidR="00FC693F" w:rsidRPr="0006063C" w:rsidSect="00034616">
      <w:pgSz w:w="12240" w:h="15840"/>
      <w:pgMar w:top="1080" w:right="1152" w:bottom="108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69" w:lineRule="auto"/>
    </w:pPr>
    <w:rPr>
      <w:rFonts w:ascii="Garamond" w:hAnsi="Garamond" w:eastAsia="Garamond"/>
      <w:sz w:val="23"/>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20"/>
      <w:outlineLvl w:val="0"/>
    </w:pPr>
    <w:rPr>
      <w:rFonts w:asciiTheme="majorHAnsi" w:eastAsiaTheme="majorEastAsia" w:hAnsiTheme="majorHAnsi" w:cstheme="majorBidi" w:ascii="Garamond" w:hAnsi="Garamond" w:eastAsia="Garamond"/>
      <w:b/>
      <w:bCs/>
      <w:color w:val="173B5F"/>
      <w:sz w:val="40"/>
      <w:szCs w:val="28"/>
    </w:rPr>
  </w:style>
  <w:style w:type="paragraph" w:styleId="Heading2">
    <w:name w:val="heading 2"/>
    <w:basedOn w:val="Normal"/>
    <w:next w:val="Normal"/>
    <w:link w:val="Heading2Char"/>
    <w:uiPriority w:val="9"/>
    <w:unhideWhenUsed/>
    <w:qFormat/>
    <w:rsid w:val="00FC693F"/>
    <w:pPr>
      <w:keepNext/>
      <w:keepLines/>
      <w:spacing w:before="200" w:after="120"/>
      <w:outlineLvl w:val="1"/>
    </w:pPr>
    <w:rPr>
      <w:rFonts w:asciiTheme="majorHAnsi" w:eastAsiaTheme="majorEastAsia" w:hAnsiTheme="majorHAnsi" w:cstheme="majorBidi" w:ascii="Garamond" w:hAnsi="Garamond" w:eastAsia="Garamond"/>
      <w:b/>
      <w:bCs/>
      <w:color w:val="173B5F"/>
      <w:sz w:val="30"/>
      <w:szCs w:val="26"/>
    </w:rPr>
  </w:style>
  <w:style w:type="paragraph" w:styleId="Heading3">
    <w:name w:val="heading 3"/>
    <w:basedOn w:val="Normal"/>
    <w:next w:val="Normal"/>
    <w:link w:val="Heading3Char"/>
    <w:uiPriority w:val="9"/>
    <w:unhideWhenUsed/>
    <w:qFormat/>
    <w:rsid w:val="00FC693F"/>
    <w:pPr>
      <w:keepNext/>
      <w:keepLines/>
      <w:spacing w:before="200" w:after="120"/>
      <w:outlineLvl w:val="2"/>
    </w:pPr>
    <w:rPr>
      <w:rFonts w:asciiTheme="majorHAnsi" w:eastAsiaTheme="majorEastAsia" w:hAnsiTheme="majorHAnsi" w:cstheme="majorBidi" w:ascii="Garamond" w:hAnsi="Garamond" w:eastAsia="Garamond"/>
      <w:b/>
      <w:bCs/>
      <w:color w:val="173B5F"/>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