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AK-L06: Aceh — Web Publishing Notes</w:t>
      </w:r>
    </w:p>
    <w:p>
      <w:pPr>
        <w:jc w:val="center"/>
      </w:pPr>
      <w:r>
        <w:rPr>
          <w:i/>
          <w:color w:val="4A5568"/>
          <w:sz w:val="22"/>
        </w:rPr>
        <w:t>Internal WordPress publishing, SEO and archive-linking notes.</w:t>
      </w:r>
    </w:p>
    <w:p>
      <w:r>
        <w:t>Resource package: AK-L06_Aceh-Islamic-State-Trade-and-Scholarship</w:t>
      </w:r>
    </w:p>
    <w:p>
      <w:r>
        <w:t>Source: PDF Low Res-0009 — Aceh; with cross-reference to the Aceh Islamic scholarship material in PDF Low Res-0004.</w:t>
      </w:r>
    </w:p>
    <w:p>
      <w:pPr>
        <w:pStyle w:val="Heading2"/>
      </w:pPr>
      <w:r>
        <w:t>Recommended WordPress Details</w:t>
      </w:r>
    </w:p>
    <w:p>
      <w:pPr>
        <w:ind w:left="360" w:hanging="216"/>
      </w:pPr>
      <w:r>
        <w:rPr>
          <w:b/>
        </w:rPr>
        <w:t xml:space="preserve">• </w:t>
      </w:r>
      <w:r>
        <w:t>Public title: Aceh: Islamic State, Trade and Scholarship</w:t>
      </w:r>
    </w:p>
    <w:p>
      <w:pPr>
        <w:ind w:left="360" w:hanging="216"/>
      </w:pPr>
      <w:r>
        <w:rPr>
          <w:b/>
        </w:rPr>
        <w:t xml:space="preserve">• </w:t>
      </w:r>
      <w:r>
        <w:t>Slug: aceh-islamic-state-trade-and-scholarship</w:t>
      </w:r>
    </w:p>
    <w:p>
      <w:pPr>
        <w:ind w:left="360" w:hanging="216"/>
      </w:pPr>
      <w:r>
        <w:rPr>
          <w:b/>
        </w:rPr>
        <w:t xml:space="preserve">• </w:t>
      </w:r>
      <w:r>
        <w:t>Hub/category: Indigenous Sovereignty</w:t>
      </w:r>
    </w:p>
    <w:p>
      <w:pPr>
        <w:ind w:left="360" w:hanging="216"/>
      </w:pPr>
      <w:r>
        <w:rPr>
          <w:b/>
        </w:rPr>
        <w:t xml:space="preserve">• </w:t>
      </w:r>
      <w:r>
        <w:t>Cross-links: The Framework; The Colonial Engine; Islam as a Historical Force; The Rise of Mataram</w:t>
      </w:r>
    </w:p>
    <w:p>
      <w:pPr>
        <w:ind w:left="360" w:hanging="216"/>
      </w:pPr>
      <w:r>
        <w:rPr>
          <w:b/>
        </w:rPr>
        <w:t xml:space="preserve">• </w:t>
      </w:r>
      <w:r>
        <w:t>Source label: PDF 009 / Aceh; with related Aceh scholarship material in PDF 004</w:t>
      </w:r>
    </w:p>
    <w:p>
      <w:pPr>
        <w:pStyle w:val="Heading2"/>
      </w:pPr>
      <w:r>
        <w:t>Resource Button URLs</w:t>
      </w:r>
    </w:p>
    <w:p>
      <w:r>
        <w:t>After upload to WordPress Media Library, replace the placeholder # links on the lecture page with the following resource labels:</w:t>
      </w:r>
    </w:p>
    <w:p>
      <w:pPr>
        <w:ind w:left="360" w:hanging="216"/>
      </w:pPr>
      <w:r>
        <w:rPr>
          <w:b/>
        </w:rPr>
        <w:t xml:space="preserve">• </w:t>
      </w:r>
      <w:r>
        <w:t>Lecture Synopsis -&gt; AK-L06_Aceh-Islamic-State-Trade-and-Scholarship_Lecture-Synopsis.docx</w:t>
      </w:r>
    </w:p>
    <w:p>
      <w:pPr>
        <w:ind w:left="360" w:hanging="216"/>
      </w:pPr>
      <w:r>
        <w:rPr>
          <w:b/>
        </w:rPr>
        <w:t xml:space="preserve">• </w:t>
      </w:r>
      <w:r>
        <w:t>Clean Transcript -&gt; AK-L06_Aceh-Islamic-State-Trade-and-Scholarship_Clean-Transcript.docx</w:t>
      </w:r>
    </w:p>
    <w:p>
      <w:pPr>
        <w:ind w:left="360" w:hanging="216"/>
      </w:pPr>
      <w:r>
        <w:rPr>
          <w:b/>
        </w:rPr>
        <w:t xml:space="preserve">• </w:t>
      </w:r>
      <w:r>
        <w:t>Original Lecture Notes -&gt; AK-L06_Aceh-Islamic-State-Trade-and-Scholarship_Original-Lecture-Notes.pdf</w:t>
      </w:r>
    </w:p>
    <w:p>
      <w:pPr>
        <w:ind w:left="360" w:hanging="216"/>
      </w:pPr>
      <w:r>
        <w:rPr>
          <w:b/>
        </w:rPr>
        <w:t xml:space="preserve">• </w:t>
      </w:r>
      <w:r>
        <w:t>Further Reading -&gt; AK-L06_Aceh-Islamic-State-Trade-and-Scholarship_Further-Reading.docx</w:t>
      </w:r>
    </w:p>
    <w:p>
      <w:pPr>
        <w:pStyle w:val="Heading2"/>
      </w:pPr>
      <w:r>
        <w:t>SEO Title</w:t>
      </w:r>
    </w:p>
    <w:p>
      <w:r>
        <w:t>Aceh: Islamic State, Trade and Scholarship | Prof Ann Kumar Archive</w:t>
      </w:r>
    </w:p>
    <w:p>
      <w:pPr>
        <w:pStyle w:val="Heading2"/>
      </w:pPr>
      <w:r>
        <w:t>Meta Description</w:t>
      </w:r>
    </w:p>
    <w:p>
      <w:r>
        <w:t>Professor Ann Kumar’s lecture on Aceh as an Islamic trading state, maritime power, pilgrimage gateway and centre of Malay-Muslim scholarship in early modern Southeast Asia.</w:t>
      </w:r>
    </w:p>
    <w:p>
      <w:pPr>
        <w:pStyle w:val="Heading2"/>
      </w:pPr>
      <w:r>
        <w:t>Suggested Hero Image / Infographic</w:t>
      </w:r>
    </w:p>
    <w:p>
      <w:r>
        <w:t>Map-style visual: Aceh as maritime and Islamic gateway. Show Banda Aceh, the Straits of Malacca, western Sumatra, Perak, Gujarat, the Red Sea and Mecca. Emphasise pepper, camphor, gold and tin moving toward Banda Aceh; Muslim merchants linking Aceh with India and the Red Sea; pilgrims travelling toward Mecca; and scholars/texts returning into the archipelago.</w:t>
      </w:r>
    </w:p>
    <w:p>
      <w:pPr>
        <w:pStyle w:val="Heading2"/>
      </w:pPr>
      <w:r>
        <w:t>Alt Text</w:t>
      </w:r>
    </w:p>
    <w:p>
      <w:r>
        <w:t>Conceptual map of Aceh as a maritime and Islamic gateway linking western Sumatra, the Straits of Malacca, Gujarat, the Red Sea and Mecca.</w:t>
      </w:r>
    </w:p>
    <w:p>
      <w:pPr>
        <w:pStyle w:val="Heading2"/>
      </w:pPr>
      <w:r>
        <w:t>Archives Page Row Update</w:t>
      </w:r>
    </w:p>
    <w:p>
      <w:r>
        <w:t>In the Archives page table, update the Aceh row from Pending links to PDF / DOCX / DOCX / DOCX after uploading the four public files.</w:t>
      </w:r>
    </w:p>
    <w:p>
      <w:pPr>
        <w:pStyle w:val="Heading2"/>
      </w:pPr>
      <w:r>
        <w:t>Proofing Caveat</w:t>
      </w:r>
    </w:p>
    <w:p>
      <w:r>
        <w:t>Final scholarly proofing should check rulers’ names, dates, transliterations and quoted Beaulieu/Reid/Schrieke passages against the original lecture scan before public release.</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