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AK-L06: Aceh — Lecture Synopsis</w:t>
      </w:r>
    </w:p>
    <w:p>
      <w:pPr>
        <w:jc w:val="center"/>
      </w:pPr>
      <w:r>
        <w:rPr>
          <w:i/>
          <w:color w:val="4A5568"/>
          <w:sz w:val="22"/>
        </w:rPr>
        <w:t>Brief teaching summary for students and archive visitors.</w:t>
      </w:r>
    </w:p>
    <w:p>
      <w:r>
        <w:t>Resource package: AK-L06_Aceh-Islamic-State-Trade-and-Scholarship</w:t>
      </w:r>
    </w:p>
    <w:p>
      <w:r>
        <w:t>Source: PDF Low Res-0009 — Aceh; with cross-reference to the Aceh Islamic scholarship material in PDF Low Res-0004.</w:t>
      </w:r>
    </w:p>
    <w:p>
      <w:pPr>
        <w:pStyle w:val="Heading2"/>
      </w:pPr>
      <w:r>
        <w:t>Purpose of the Lecture</w:t>
      </w:r>
    </w:p>
    <w:p>
      <w:r>
        <w:t>This lecture presents Aceh as a major Islamic trading state of the Malayo-Muslim maritime zone. It follows Aceh’s rise, its commodities and trade routes, its merchant elites, its royal absolutism under Iskandar Muda, its later oligarchic and regional fragmentation, and its role as a centre of Islamic scholarship and pilgrimage.</w:t>
      </w:r>
    </w:p>
    <w:p>
      <w:pPr>
        <w:pStyle w:val="Heading2"/>
      </w:pPr>
      <w:r>
        <w:t>Core Argument</w:t>
      </w:r>
    </w:p>
    <w:p>
      <w:r>
        <w:t>Professor Kumar’s central concern is the relationship between trade, state power and Islamic intellectual life. Aceh’s prosperity was built on pepper, gold, camphor, tin, foreign merchants and Indian Ocean connections. Yet its political order struggled to balance merchant autonomy with royal centralisation. The rise and fall of Iskandar Muda’s absolutism shows both the power and the weakness of monarchy in a maritime commercial state.</w:t>
      </w:r>
    </w:p>
    <w:p>
      <w:pPr>
        <w:pStyle w:val="Heading2"/>
      </w:pPr>
      <w:r>
        <w:t>Key Points</w:t>
      </w:r>
    </w:p>
    <w:p>
      <w:pPr>
        <w:ind w:left="360" w:hanging="216"/>
      </w:pPr>
      <w:r>
        <w:rPr>
          <w:b/>
        </w:rPr>
        <w:t xml:space="preserve">• </w:t>
      </w:r>
      <w:r>
        <w:t>Aceh as pasisir state: Aceh was one of the Islamic coastal states that participated in the maritime trade boom of the fifteenth to mid-seventeenth centuries.</w:t>
      </w:r>
    </w:p>
    <w:p>
      <w:pPr>
        <w:ind w:left="360" w:hanging="216"/>
      </w:pPr>
      <w:r>
        <w:rPr>
          <w:b/>
        </w:rPr>
        <w:t xml:space="preserve">• </w:t>
      </w:r>
      <w:r>
        <w:t>Commodity power: Aceh channelled pepper, gold, camphor and tin through its capital and sought to exclude Portuguese Malacca.</w:t>
      </w:r>
    </w:p>
    <w:p>
      <w:pPr>
        <w:ind w:left="360" w:hanging="216"/>
      </w:pPr>
      <w:r>
        <w:rPr>
          <w:b/>
        </w:rPr>
        <w:t xml:space="preserve">• </w:t>
      </w:r>
      <w:r>
        <w:t>Ala’ad-din al-Kahar: The sixteenth-century ruler laid the foundations of Acehnese power through conquest, vassal rulers, Red Sea trade and alliance with Turkey.</w:t>
      </w:r>
    </w:p>
    <w:p>
      <w:pPr>
        <w:ind w:left="360" w:hanging="216"/>
      </w:pPr>
      <w:r>
        <w:rPr>
          <w:b/>
        </w:rPr>
        <w:t xml:space="preserve">• </w:t>
      </w:r>
      <w:r>
        <w:t>Orangkaya dominance: Powerful merchant-officials could make and unmake kings, weakening stable royal authority.</w:t>
      </w:r>
    </w:p>
    <w:p>
      <w:pPr>
        <w:ind w:left="360" w:hanging="216"/>
      </w:pPr>
      <w:r>
        <w:rPr>
          <w:b/>
        </w:rPr>
        <w:t xml:space="preserve">• </w:t>
      </w:r>
      <w:r>
        <w:t>Royal absolutism: Al-Mukammil and especially Iskandar Muda tried to break merchant power and monopolise coercion, trade and administration.</w:t>
      </w:r>
    </w:p>
    <w:p>
      <w:pPr>
        <w:ind w:left="360" w:hanging="216"/>
      </w:pPr>
      <w:r>
        <w:rPr>
          <w:b/>
        </w:rPr>
        <w:t xml:space="preserve">• </w:t>
      </w:r>
      <w:r>
        <w:t>Iskandar Muda: He expanded Acehnese power, controlled pepper, restricted firearms, reorganised orangkaya and codified law.</w:t>
      </w:r>
    </w:p>
    <w:p>
      <w:pPr>
        <w:ind w:left="360" w:hanging="216"/>
      </w:pPr>
      <w:r>
        <w:rPr>
          <w:b/>
        </w:rPr>
        <w:t xml:space="preserve">• </w:t>
      </w:r>
      <w:r>
        <w:t>Weak bureaucracy: Aceh developed officials and courts, but not a fully professional salaried bureaucracy.</w:t>
      </w:r>
    </w:p>
    <w:p>
      <w:pPr>
        <w:ind w:left="360" w:hanging="216"/>
      </w:pPr>
      <w:r>
        <w:rPr>
          <w:b/>
        </w:rPr>
        <w:t xml:space="preserve">• </w:t>
      </w:r>
      <w:r>
        <w:t>Trade versus monarchy: Royal monopoly strengthened the state but could stifle local merchant enterprise.</w:t>
      </w:r>
    </w:p>
    <w:p>
      <w:pPr>
        <w:ind w:left="360" w:hanging="216"/>
      </w:pPr>
      <w:r>
        <w:rPr>
          <w:b/>
        </w:rPr>
        <w:t xml:space="preserve">• </w:t>
      </w:r>
      <w:r>
        <w:t>Queens and oligarchy: After 1641, female rule provided a workable arrangement for the orangkaya but weakened central authority.</w:t>
      </w:r>
    </w:p>
    <w:p>
      <w:pPr>
        <w:ind w:left="360" w:hanging="216"/>
      </w:pPr>
      <w:r>
        <w:rPr>
          <w:b/>
        </w:rPr>
        <w:t xml:space="preserve">• </w:t>
      </w:r>
      <w:r>
        <w:t>Interior challenge: The rise of Aceh Besar and its territorial aristocracy shifted power away from the port-capital.</w:t>
      </w:r>
    </w:p>
    <w:p>
      <w:pPr>
        <w:ind w:left="360" w:hanging="216"/>
      </w:pPr>
      <w:r>
        <w:rPr>
          <w:b/>
        </w:rPr>
        <w:t xml:space="preserve">• </w:t>
      </w:r>
      <w:r>
        <w:t>Islamic scholarship: Aceh was a gateway to Mecca, a centre of Malay Islamic writing and a channel for spiritual influence into Java and the wider archipelago.</w:t>
      </w:r>
    </w:p>
    <w:p>
      <w:pPr>
        <w:pStyle w:val="Heading2"/>
      </w:pPr>
      <w:r>
        <w:t>Why It Matters</w:t>
      </w:r>
    </w:p>
    <w:p>
      <w:r>
        <w:t>This lecture is essential for understanding the archive’s Indigenous Sovereignty hub. It shows that Southeast Asian political history was not only a story of inland agrarian courts or European intrusion. Aceh represents a maritime Islamic model: trading state, pilgrimage gate, literary centre, royal absolutism and merchant oligarchy in tension.</w:t>
      </w:r>
    </w:p>
    <w:p>
      <w:pPr>
        <w:pStyle w:val="Heading2"/>
      </w:pPr>
      <w:r>
        <w:t>Suggested Student Questions</w:t>
      </w:r>
    </w:p>
    <w:p>
      <w:pPr>
        <w:ind w:left="360" w:hanging="216"/>
      </w:pPr>
      <w:r>
        <w:rPr>
          <w:b/>
        </w:rPr>
        <w:t xml:space="preserve">• </w:t>
      </w:r>
      <w:r>
        <w:t>How did Aceh’s place in the Malayo-Muslim zone shape its political and religious life?</w:t>
      </w:r>
    </w:p>
    <w:p>
      <w:pPr>
        <w:ind w:left="360" w:hanging="216"/>
      </w:pPr>
      <w:r>
        <w:rPr>
          <w:b/>
        </w:rPr>
        <w:t xml:space="preserve">• </w:t>
      </w:r>
      <w:r>
        <w:t>Why did the orangkaya become so powerful, and why was their power unstable?</w:t>
      </w:r>
    </w:p>
    <w:p>
      <w:pPr>
        <w:ind w:left="360" w:hanging="216"/>
      </w:pPr>
      <w:r>
        <w:rPr>
          <w:b/>
        </w:rPr>
        <w:t xml:space="preserve">• </w:t>
      </w:r>
      <w:r>
        <w:t>What were the strengths and weaknesses of Iskandar Muda’s royal absolutism?</w:t>
      </w:r>
    </w:p>
    <w:p>
      <w:pPr>
        <w:ind w:left="360" w:hanging="216"/>
      </w:pPr>
      <w:r>
        <w:rPr>
          <w:b/>
        </w:rPr>
        <w:t xml:space="preserve">• </w:t>
      </w:r>
      <w:r>
        <w:t>Why did female rule become attractive to the merchant oligarchy after 1641?</w:t>
      </w:r>
    </w:p>
    <w:p>
      <w:pPr>
        <w:ind w:left="360" w:hanging="216"/>
      </w:pPr>
      <w:r>
        <w:rPr>
          <w:b/>
        </w:rPr>
        <w:t xml:space="preserve">• </w:t>
      </w:r>
      <w:r>
        <w:t>How does Aceh complicate a Dutch-centred account of Indonesian history?</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