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rPr>
          <w:rFonts w:ascii="Georgia" w:hAnsi="Georgia"/>
          <w:color w:val="1B3A5C"/>
        </w:rPr>
        <w:t>AK-L06: Aceh — Further Reading</w:t>
      </w:r>
    </w:p>
    <w:p>
      <w:pPr>
        <w:jc w:val="center"/>
      </w:pPr>
      <w:r>
        <w:rPr>
          <w:i/>
          <w:color w:val="4A5568"/>
          <w:sz w:val="22"/>
        </w:rPr>
        <w:t>Curated reading note for Aceh as Islamic trading state and scholarly centre.</w:t>
      </w:r>
    </w:p>
    <w:p>
      <w:r>
        <w:t>Resource package: AK-L06_Aceh-Islamic-State-Trade-and-Scholarship</w:t>
      </w:r>
    </w:p>
    <w:p>
      <w:r>
        <w:t>Source: PDF Low Res-0009 — Aceh; with cross-reference to the Aceh Islamic scholarship material in PDF Low Res-0004.</w:t>
      </w:r>
    </w:p>
    <w:p>
      <w:pPr>
        <w:pStyle w:val="Heading2"/>
      </w:pPr>
      <w:r>
        <w:t>Core Works and Scholars</w:t>
      </w:r>
    </w:p>
    <w:p>
      <w:pPr>
        <w:pStyle w:val="Heading3"/>
      </w:pPr>
      <w:r>
        <w:t>Anthony Reid</w:t>
      </w:r>
    </w:p>
    <w:p>
      <w:r>
        <w:t>Essential for Aceh’s political economy, trade, orangkaya, merchant power and the problem of state formation in early modern Southeast Asia.</w:t>
      </w:r>
    </w:p>
    <w:p>
      <w:pPr>
        <w:pStyle w:val="Heading3"/>
      </w:pPr>
      <w:r>
        <w:t>B. Schrieke, Indonesian Sociological Studies</w:t>
      </w:r>
    </w:p>
    <w:p>
      <w:r>
        <w:t>Important for Aceh’s religious and literary connections, especially Islamic scholarship, pilgrimage and Malay texts.</w:t>
      </w:r>
    </w:p>
    <w:p>
      <w:pPr>
        <w:pStyle w:val="Heading3"/>
      </w:pPr>
      <w:r>
        <w:t>H. J. de Graaf, “South-East Asian Islam to the 18th Century”</w:t>
      </w:r>
    </w:p>
    <w:p>
      <w:r>
        <w:t>Useful for Aceh’s Islamic scholars, including Hamzah Fansuri, Nur al-Din al-Raniri and Abd al-Rauf of Singkel.</w:t>
      </w:r>
    </w:p>
    <w:p>
      <w:pPr>
        <w:pStyle w:val="Heading3"/>
      </w:pPr>
      <w:r>
        <w:t>Syed Muhammad Naquib al-Attas</w:t>
      </w:r>
    </w:p>
    <w:p>
      <w:r>
        <w:t>Important for Malay Islamic thought and the mysticism of Hamzah Fansuri.</w:t>
      </w:r>
    </w:p>
    <w:p>
      <w:pPr>
        <w:pStyle w:val="Heading3"/>
      </w:pPr>
      <w:r>
        <w:t>Christiaan Snouck Hurgronje</w:t>
      </w:r>
    </w:p>
    <w:p>
      <w:r>
        <w:t>Useful for later Aceh, Mecca connections and Dutch Islamic studies, though his work should be read critically in its colonial context.</w:t>
      </w:r>
    </w:p>
    <w:p>
      <w:pPr>
        <w:pStyle w:val="Heading3"/>
      </w:pPr>
      <w:r>
        <w:t>D. G. E. Hall</w:t>
      </w:r>
    </w:p>
    <w:p>
      <w:r>
        <w:t>Provides broader Southeast Asian background for Aceh, the Portuguese at Malacca and regional trade.</w:t>
      </w:r>
    </w:p>
    <w:p>
      <w:pPr>
        <w:pStyle w:val="Heading3"/>
      </w:pPr>
      <w:r>
        <w:t>Thomas W. Arnold</w:t>
      </w:r>
    </w:p>
    <w:p>
      <w:r>
        <w:t>Useful contextual reading on the spread of Islam and Muslim missionary activity, though older in approach.</w:t>
      </w:r>
    </w:p>
    <w:p>
      <w:pPr>
        <w:pStyle w:val="Heading3"/>
      </w:pPr>
      <w:r>
        <w:t>Works on the Indian Ocean world</w:t>
      </w:r>
    </w:p>
    <w:p>
      <w:r>
        <w:t>Helpful for understanding Aceh’s links with Gujarat, Persia, Arabia, the Red Sea and Mecca.</w:t>
      </w:r>
    </w:p>
    <w:p>
      <w:pPr>
        <w:pStyle w:val="Heading2"/>
      </w:pPr>
      <w:r>
        <w:t>Reading Priorities</w:t>
      </w:r>
    </w:p>
    <w:p>
      <w:pPr>
        <w:ind w:left="360" w:hanging="216"/>
      </w:pPr>
      <w:r>
        <w:rPr>
          <w:b/>
        </w:rPr>
        <w:t xml:space="preserve">• </w:t>
      </w:r>
      <w:r>
        <w:t>Start with Anthony Reid for Aceh’s political economy and state formation.</w:t>
      </w:r>
    </w:p>
    <w:p>
      <w:pPr>
        <w:ind w:left="360" w:hanging="216"/>
      </w:pPr>
      <w:r>
        <w:rPr>
          <w:b/>
        </w:rPr>
        <w:t xml:space="preserve">• </w:t>
      </w:r>
      <w:r>
        <w:t>Use Schrieke and de Graaf for Aceh’s Islamic literary and scholarly role.</w:t>
      </w:r>
    </w:p>
    <w:p>
      <w:pPr>
        <w:ind w:left="360" w:hanging="216"/>
      </w:pPr>
      <w:r>
        <w:rPr>
          <w:b/>
        </w:rPr>
        <w:t xml:space="preserve">• </w:t>
      </w:r>
      <w:r>
        <w:t>Read Snouck Hurgronje critically as both scholar of Islam and adviser to Dutch colonial policy.</w:t>
      </w:r>
    </w:p>
    <w:p>
      <w:pPr>
        <w:ind w:left="360" w:hanging="216"/>
      </w:pPr>
      <w:r>
        <w:rPr>
          <w:b/>
        </w:rPr>
        <w:t xml:space="preserve">• </w:t>
      </w:r>
      <w:r>
        <w:t>Connect this lecture with Islam as a Historical Force and The Dutch Strategy in the Seventeenth Century.</w:t>
      </w:r>
    </w:p>
    <w:p>
      <w:pPr>
        <w:pStyle w:val="Heading2"/>
      </w:pPr>
      <w:r>
        <w:t>Archive Cross-Links</w:t>
      </w:r>
    </w:p>
    <w:p>
      <w:pPr>
        <w:ind w:left="360" w:hanging="216"/>
      </w:pPr>
      <w:r>
        <w:rPr>
          <w:b/>
        </w:rPr>
        <w:t xml:space="preserve">• </w:t>
      </w:r>
      <w:r>
        <w:t>AK-L02: Islam as a Historical Force</w:t>
      </w:r>
    </w:p>
    <w:p>
      <w:pPr>
        <w:ind w:left="360" w:hanging="216"/>
      </w:pPr>
      <w:r>
        <w:rPr>
          <w:b/>
        </w:rPr>
        <w:t xml:space="preserve">• </w:t>
      </w:r>
      <w:r>
        <w:t>AK-L05: The Rise of Mataram</w:t>
      </w:r>
    </w:p>
    <w:p>
      <w:pPr>
        <w:ind w:left="360" w:hanging="216"/>
      </w:pPr>
      <w:r>
        <w:rPr>
          <w:b/>
        </w:rPr>
        <w:t xml:space="preserve">• </w:t>
      </w:r>
      <w:r>
        <w:t>The Dutch Strategy in the Seventeenth Century</w:t>
      </w:r>
    </w:p>
    <w:p>
      <w:pPr>
        <w:ind w:left="360" w:hanging="216"/>
      </w:pPr>
      <w:r>
        <w:rPr>
          <w:b/>
        </w:rPr>
        <w:t xml:space="preserve">• </w:t>
      </w:r>
      <w:r>
        <w:t>Future enrichment page: Literary Voices</w:t>
      </w:r>
    </w:p>
    <w:p>
      <w:pPr>
        <w:ind w:left="360" w:hanging="216"/>
      </w:pPr>
      <w:r>
        <w:rPr>
          <w:b/>
        </w:rPr>
        <w:t xml:space="preserve">• </w:t>
      </w:r>
      <w:r>
        <w:t>Future enrichment page: Comparative Governance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76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1B3A5C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1B3A5C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/>
      <w:b/>
      <w:bCs/>
      <w:color w:val="1B3A5C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