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AK-L06: Aceh — Clean Transcript</w:t>
      </w:r>
    </w:p>
    <w:p>
      <w:pPr>
        <w:jc w:val="center"/>
      </w:pPr>
      <w:r>
        <w:rPr>
          <w:i/>
          <w:color w:val="4A5568"/>
          <w:sz w:val="22"/>
        </w:rPr>
        <w:t>Edited teaching transcript reconstructed from Professor Ann Kumar’s lecture on Aceh as Islamic state, trading power and scholarly centre.</w:t>
      </w:r>
    </w:p>
    <w:p>
      <w:r>
        <w:t>Resource package: AK-L06_Aceh-Islamic-State-Trade-and-Scholarship</w:t>
      </w:r>
    </w:p>
    <w:p>
      <w:r>
        <w:t>Source: PDF Low Res-0009 — Aceh; with cross-reference to the Aceh Islamic scholarship material in PDF Low Res-0004.</w:t>
      </w:r>
    </w:p>
    <w:tbl>
      <w:tblPr>
        <w:tblW w:type="auto" w:w="0"/>
        <w:jc w:val="center"/>
        <w:tblLook w:firstColumn="1" w:firstRow="1" w:lastColumn="0" w:lastRow="0" w:noHBand="0" w:noVBand="1" w:val="04A0"/>
      </w:tblPr>
      <w:tblGrid>
        <w:gridCol w:w="9936"/>
      </w:tblGrid>
      <w:tr>
        <w:tc>
          <w:tcPr>
            <w:tcW w:type="dxa" w:w="9936"/>
            <w:shd w:fill="F5F0E6"/>
            <w:vAlign w:val="top"/>
          </w:tcPr>
          <w:p>
            <w:r>
              <w:rPr>
                <w:b/>
                <w:color w:val="1B3A5C"/>
                <w:sz w:val="20"/>
              </w:rPr>
              <w:t>Editorial Note</w:t>
            </w:r>
          </w:p>
          <w:p>
            <w:pPr>
              <w:spacing w:after="80"/>
            </w:pPr>
            <w:r>
              <w:rPr>
                <w:sz w:val="18"/>
              </w:rPr>
              <w:t>This clean transcript is a teaching edition based on PDF Low Res-0009 and cross-checked against the Aceh material embedded in PDF Low Res-0004. Obvious OCR noise and repeated “Advertisement” artefacts have been removed. Final scholarly proofing should compare names, dates and quotations against the original scan.</w:t>
            </w:r>
          </w:p>
        </w:tc>
      </w:tr>
    </w:tbl>
    <w:p/>
    <w:p>
      <w:pPr>
        <w:pStyle w:val="Heading2"/>
      </w:pPr>
      <w:r>
        <w:t>Opening: Aceh in the Malayo-Muslim Zone</w:t>
      </w:r>
    </w:p>
    <w:p>
      <w:r>
        <w:t>This lecture examines Aceh as one of the Islamic pasisir states that participated in the great maritime trade of the fifteenth to mid-seventeenth centuries. Professor Kumar presents Aceh not simply as a later site of anti-Dutch resistance, but as a major Islamic, commercial and intellectual power in its own right.</w:t>
      </w:r>
    </w:p>
    <w:p>
      <w:r>
        <w:t>Aceh belonged to the Malayo-Muslim maritime zone. Its history therefore connects trade, ports, commodities, pilgrimage, Islamic learning, royal authority and merchant power. The lecture’s central problem is political as much as economic: how could a trading city develop stable government when monarchy, merchant autonomy and European commercial pressure all pulled in different directions?</w:t>
      </w:r>
    </w:p>
    <w:p>
      <w:pPr>
        <w:pStyle w:val="Heading2"/>
      </w:pPr>
      <w:r>
        <w:t>The Creation of Aceh</w:t>
      </w:r>
    </w:p>
    <w:p>
      <w:r>
        <w:t>The state of Aceh was created under Sultan Ali Mughayat Syah, who ruled from 1520 to 1524, in a region relatively little affected by the Hindu cosmic tradition of kingship that shaped much of Java.</w:t>
      </w:r>
    </w:p>
    <w:p>
      <w:r>
        <w:t>Aceh’s prosperity depended on control of exportable commodities: pepper, camphor and gold from the west coast of Sumatra, and tin from Perak. These goods were channelled through the Acehnese capital and, as far as possible, kept from the Portuguese at Malacca.</w:t>
      </w:r>
    </w:p>
    <w:p>
      <w:pPr>
        <w:pStyle w:val="Heading2"/>
      </w:pPr>
      <w:r>
        <w:t>Ala’ad-din Ri’ayat Shah al-Kahar</w:t>
      </w:r>
    </w:p>
    <w:p>
      <w:r>
        <w:t>The foundations of Aceh’s commercial and military strength were laid by Ala’ad-din Ri’ayat Shah al-Kahar, who ruled from 1539 to 1571. He conquered Aru on the east coast and Pariaman on the west coast, establishing his sons as vassal rulers in these regions.</w:t>
      </w:r>
    </w:p>
    <w:p>
      <w:r>
        <w:t>Under al-Kahar there was a flourishing Muslim spice trade between Aceh and the Red Sea. He formed an alliance with Turkey in 1567 and became a formidable enemy of the Portuguese in Malacca.</w:t>
      </w:r>
    </w:p>
    <w:p>
      <w:r>
        <w:t>This expansion depended on attracting wealthy Islamic merchants from across the region. Banda Aceh became a polyglot capital in which Malay, rather than Acehnese, served as the principal language of commerce and wider communication.</w:t>
      </w:r>
    </w:p>
    <w:p>
      <w:pPr>
        <w:pStyle w:val="Heading2"/>
      </w:pPr>
      <w:r>
        <w:t>Stage One: The Mercantile Orangkaya</w:t>
      </w:r>
    </w:p>
    <w:p>
      <w:r>
        <w:t>After the reigns of al-Kahar and Ali Ri’ayat Shah, the powerful merchants of the capital appear to have gained effective control over the throne. Professor Kumar follows Anthony Reid in describing this as a period of great mercantile orangkaya.</w:t>
      </w:r>
    </w:p>
    <w:p>
      <w:r>
        <w:t>Five rulers were dethroned within ten years. European visitors describe the orangkaya as rich men with large houses, cannon, slaves, guards, retinues and immense political influence.</w:t>
      </w:r>
    </w:p>
    <w:p>
      <w:r>
        <w:t>The crucial point is that Aceh had powerful merchant-officials but not a stable institutional basis for the state. Merchant autonomy could weaken royal authority, but it did not necessarily produce durable public institutions.</w:t>
      </w:r>
    </w:p>
    <w:p>
      <w:pPr>
        <w:pStyle w:val="Heading2"/>
      </w:pPr>
      <w:r>
        <w:t>Stage Two: Royal Absolutism</w:t>
      </w:r>
    </w:p>
    <w:p>
      <w:r>
        <w:t>After two foreign-born rulers had been installed by the orangkaya, an Acehnese dynasty returned to power in 1589 with Ala’ad-din Ri’ayat Shah Sayyid al-Mukammil. He was already a distinguished naval leader and attempted to break the dominance of the orangkaya.</w:t>
      </w:r>
    </w:p>
    <w:p>
      <w:r>
        <w:t>Beaulieu reports that al-Mukammil massacred a large number of orangkaya at a feast and justified the action as necessary to prevent the old pattern in which rich men made and unmade kings at will. He demolished their houses, confiscated their cannon, arms and goods, and prohibited private stone houses, cannon and entrenchments.</w:t>
      </w:r>
    </w:p>
    <w:p>
      <w:r>
        <w:t>Professor Kumar interprets this as an attempt to create a monopoly of armed force for the state or monarchy.</w:t>
      </w:r>
    </w:p>
    <w:p>
      <w:pPr>
        <w:pStyle w:val="Heading2"/>
      </w:pPr>
      <w:r>
        <w:t>Iskandar Muda and the Zenith of Acehnese Power</w:t>
      </w:r>
    </w:p>
    <w:p>
      <w:r>
        <w:t>Al-Mukammil’s centralising policy was carried to new heights by Iskandar Muda, who ruled from 1607 to 1636. Professor Kumar presents him as the mightiest and most absolute of the Acehnese sultans.</w:t>
      </w:r>
    </w:p>
    <w:p>
      <w:r>
        <w:t>Through military victories in eastern Sumatra and the Malay Peninsula, Iskandar Muda sought to monopolise the export produce of the region and destroy major rivals. Tight control was established over pepper-producing centres in western Sumatra. Acehnese governors were changed every three years and called annually to account.</w:t>
      </w:r>
    </w:p>
    <w:p>
      <w:r>
        <w:t>The ruler himself controlled a very large percentage of the pepper available for sale and insisted on selling his own stock at a high price before allowing foreigners to buy on the open market. Both European and Muslim merchants became frustrated by his hard bargaining, and in 1620-1622 the English and Dutch were expelled.</w:t>
      </w:r>
    </w:p>
    <w:p>
      <w:pPr>
        <w:pStyle w:val="Heading2"/>
      </w:pPr>
      <w:r>
        <w:t>A New Ruling Class and the Courts of Aceh</w:t>
      </w:r>
    </w:p>
    <w:p>
      <w:r>
        <w:t>According to Beaulieu, Iskandar Muda completed the destruction of the old ruling class and created a new class of orangkaya. Each was responsible for a province or district and for raising men for the Sultan’s wars.</w:t>
      </w:r>
    </w:p>
    <w:p>
      <w:r>
        <w:t>He kept a register of firearms to prevent them from strengthening individual orangkaya. Each orangkaya was required to spend every third night in the palace, unarmed, so that in the event of rebellion at least one-third would already be in the Sultan’s hands.</w:t>
      </w:r>
    </w:p>
    <w:p>
      <w:r>
        <w:t>Iskandar Muda codified and enforced a complex legal system. The adat Aceh acknowledged him as its originator. Beaulieu describes four distinct courts dealing with debtors, criminal matters, religious questions and disputes among merchants.</w:t>
      </w:r>
    </w:p>
    <w:p>
      <w:pPr>
        <w:pStyle w:val="Heading2"/>
      </w:pPr>
      <w:r>
        <w:t>The Limits of Absolutism</w:t>
      </w:r>
    </w:p>
    <w:p>
      <w:r>
        <w:t>Iskandar Muda’s system required a relatively large body of officials, yet Professor Kumar notes that progress towards a professional bureaucracy was slight. Officials do not appear to have been salaried. Commercial officials were expected to make valuable annual presents to the king and drew wealth from the gifts they demanded from merchants.</w:t>
      </w:r>
    </w:p>
    <w:p>
      <w:r>
        <w:t>European complaints about arbitrariness should be treated cautiously, since Europeans were capable of special pleading. Nevertheless, the more fundamental weakness of Iskandar Muda’s absolutism was its apparent incompatibility with private commercial enterprise.</w:t>
      </w:r>
    </w:p>
    <w:p>
      <w:r>
        <w:t>His regime depended on trade, yet royal monopoly and palace-centred control could stifle the autonomy of local merchants. Professor Kumar uses this point to compare Southeast Asian state formation with European centralisation, while also recognising the different commercial and political pressures at work.</w:t>
      </w:r>
    </w:p>
    <w:p>
      <w:pPr>
        <w:pStyle w:val="Heading2"/>
      </w:pPr>
      <w:r>
        <w:t>Decline and the Return of the Orangkaya</w:t>
      </w:r>
    </w:p>
    <w:p>
      <w:r>
        <w:t>After Iskandar Muda, lesser rulers followed. With Dutch power at Malacca after 1641, the orangkaya regained their former position of strength. Under a succession of queens from 1641, this process continued.</w:t>
      </w:r>
    </w:p>
    <w:p>
      <w:r>
        <w:t>The first queen came to the throne because of the absence of a male heir. Iskandar Muda had killed his male heirs before his death, and his son-in-law died early. The continued practice of placing queens on the throne seems to have suited the oligarchy, since it increased the power of the leading orangkaya.</w:t>
      </w:r>
    </w:p>
    <w:p>
      <w:r>
        <w:t>With each new queen, the leading orangkaya gained more influence. The state remained prosperous, but its central authority weakened.</w:t>
      </w:r>
    </w:p>
    <w:p>
      <w:pPr>
        <w:pStyle w:val="Heading2"/>
      </w:pPr>
      <w:r>
        <w:t>Aceh Besar and the Interior Aristocracy</w:t>
      </w:r>
    </w:p>
    <w:p>
      <w:r>
        <w:t>In the last decades of the seventeenth century, a new political force emerged: a territorial rather than merchant aristocracy in the interior of Aceh Besar.</w:t>
      </w:r>
    </w:p>
    <w:p>
      <w:r>
        <w:t>This shift had partly economic causes. As the relative power of the port-capital and royal trade declined, rice cultivation in Aceh Besar expanded. The state became less purely trade-based and more partly agricultural. That brought dispersion, regionalism and new challenges to the port-centred political order.</w:t>
      </w:r>
    </w:p>
    <w:p>
      <w:r>
        <w:t>The interior aristocracy opposed the regime at the capital and demanded a return to male rule. In 1699 they obtained a letter from Mecca forbidding female rule as contrary to Islam. The fourth sultana was deposed and authority passed to an Arab dynasty of Sayyids. In the eighteenth and early nineteenth centuries, the territorial aristocracy repeatedly plunged the kingdom into civil conflict.</w:t>
      </w:r>
    </w:p>
    <w:p>
      <w:pPr>
        <w:pStyle w:val="Heading2"/>
      </w:pPr>
      <w:r>
        <w:t>Reid’s Interpretation</w:t>
      </w:r>
    </w:p>
    <w:p>
      <w:r>
        <w:t>Professor Kumar uses Anthony Reid’s interpretation to frame Aceh’s political trajectory. Aceh first flourished as a centre for large merchants of foreign origin, then underwent a period of royal absolutism that concentrated commercial and political life in the palace, then experienced a reaction against absolutism by merchant-officials who found a workable compromise in female rule.</w:t>
      </w:r>
    </w:p>
    <w:p>
      <w:r>
        <w:t>The problem was that this arrangement could not prevent the loss of outer dependencies or the rise of a disruptive challenge from the interior of Aceh Besar. A promising movement towards institutionalised government broke down.</w:t>
      </w:r>
    </w:p>
    <w:p>
      <w:r>
        <w:t>This leads to the lecture’s larger question: was the breakdown caused by lack of consensus about the state, administrative and financial weaknesses, the inability of the trading city to develop separately from the state, or the monopolistic nature of the Western economic threat, to which royal monopoly seemed the only answer?</w:t>
      </w:r>
    </w:p>
    <w:p>
      <w:pPr>
        <w:pStyle w:val="Heading2"/>
      </w:pPr>
      <w:r>
        <w:t>Aceh as a Spiritual and Commercial Hub</w:t>
      </w:r>
    </w:p>
    <w:p>
      <w:r>
        <w:t>The lecture also insists that Aceh was not only a political and commercial power. It was also the chief emporium of Muslim trade between the archipelago, India and the Red Sea, and it was “the gate of the Holy Land” for pilgrims travelling from the archipelago to Mecca.</w:t>
      </w:r>
    </w:p>
    <w:p>
      <w:r>
        <w:t>Some pilgrims remained in Aceh for study before or after pilgrimage. During the sixteenth and seventeenth centuries, Aceh became one of the main channels through which spiritual life on Java and elsewhere in the archipelago was nourished from Muslim India and the Holy Land.</w:t>
      </w:r>
    </w:p>
    <w:p>
      <w:r>
        <w:t>This helps explain the extraordinary production of Malay writings on Islamic teaching in Aceh during its period of prosperity.</w:t>
      </w:r>
    </w:p>
    <w:p>
      <w:pPr>
        <w:pStyle w:val="Heading2"/>
      </w:pPr>
      <w:r>
        <w:t>Islamic Scholarship and Literary Traditions</w:t>
      </w:r>
    </w:p>
    <w:p>
      <w:r>
        <w:t>Aceh’s intellectual role is reinforced by material from the related lecture notes on seventeenth-century Aceh and the Muslim world. Professor Kumar notes that Aceh maintained two-way contact with the Holy Land, Gujarat and Persia, and that many popular Arabic and Persian works entered the Malay and Javanese literary worlds through these channels.</w:t>
      </w:r>
    </w:p>
    <w:p>
      <w:r>
        <w:t>Texts mentioned include the Amir Hamzah romances, Bayan Budiman, Laila and Majnun, Yusuf and Anbiya tales, and mirrors for monarchs such as Taj al-Salatin and Bustan al-Salatin.</w:t>
      </w:r>
    </w:p>
    <w:p>
      <w:r>
        <w:t>The great religious figures associated with Aceh include Hamzah Fansuri, Shams al-Din of Pasai, Nur al-Din al-Raniri and Abd al-Rauf of Singkel. This intellectual material prevents the lecture from becoming a simple account of politics and trade. Aceh was also a centre of scholarship, Sufi debate, law, literature and pilgrimage.</w:t>
      </w:r>
    </w:p>
    <w:p>
      <w:pPr>
        <w:pStyle w:val="Heading2"/>
      </w:pPr>
      <w:r>
        <w:t>This Lecture in the Archive’s Larger Argument</w:t>
      </w:r>
    </w:p>
    <w:p>
      <w:r>
        <w:t>Aceh belongs in the Indigenous Sovereignty hub because it shows Southeast Asian state formation, Islamic scholarship and commercial strategy developing according to their own regional logics.</w:t>
      </w:r>
    </w:p>
    <w:p>
      <w:r>
        <w:t>It also belongs in conversation with the Framework hub because Aceh is a major example of the Malayo-Muslim maritime zone: coastal, commercial, multilingual, Islamic and connected to the Indian Ocean world.</w:t>
      </w:r>
    </w:p>
    <w:p>
      <w:r>
        <w:t>The lecture therefore broadens the archive beyond Java. It shows that Southeast Asian civilisation cannot be reduced to either Dutch expansion or Javanese court history. Aceh was a maritime Islamic state, a merchant city, a royal absolutism, an oligarchic polity, a pilgrimage gateway and a literary-religious centre.</w:t>
      </w:r>
    </w:p>
    <w:p>
      <w:pPr>
        <w:pStyle w:val="Heading2"/>
      </w:pPr>
      <w:r>
        <w:t>Key Terms in the Lecture</w:t>
      </w:r>
    </w:p>
    <w:p>
      <w:r>
        <w:rPr>
          <w:b/>
        </w:rPr>
        <w:t xml:space="preserve">pasisir: </w:t>
      </w:r>
      <w:r>
        <w:t>Coastal or littoral Islamic trading states of the archipelago.</w:t>
      </w:r>
    </w:p>
    <w:p>
      <w:r>
        <w:rPr>
          <w:b/>
        </w:rPr>
        <w:t xml:space="preserve">orangkaya: </w:t>
      </w:r>
      <w:r>
        <w:t>Literally “rich men”; powerful merchant-official elites in Acehnese and Malay political life.</w:t>
      </w:r>
    </w:p>
    <w:p>
      <w:r>
        <w:rPr>
          <w:b/>
        </w:rPr>
        <w:t xml:space="preserve">Banda Aceh: </w:t>
      </w:r>
      <w:r>
        <w:t>Aceh’s capital and major entrepot, noted for its polyglot population and Malay commercial language.</w:t>
      </w:r>
    </w:p>
    <w:p>
      <w:r>
        <w:rPr>
          <w:b/>
        </w:rPr>
        <w:t xml:space="preserve">Iskandar Muda: </w:t>
      </w:r>
      <w:r>
        <w:t>Acehnese sultan, 1607-1636, associated with the high point of royal absolutism and military-commercial expansion.</w:t>
      </w:r>
    </w:p>
    <w:p>
      <w:r>
        <w:rPr>
          <w:b/>
        </w:rPr>
        <w:t xml:space="preserve">adat Aceh: </w:t>
      </w:r>
      <w:r>
        <w:t>Acehnese customary and legal order; the lecture notes associate its codification with Iskandar Muda.</w:t>
      </w:r>
    </w:p>
    <w:p>
      <w:r>
        <w:rPr>
          <w:b/>
        </w:rPr>
        <w:t xml:space="preserve">sultana: </w:t>
      </w:r>
      <w:r>
        <w:t>A female ruler. Aceh was ruled by several queens after 1641, a pattern that suited the merchant oligarchy.</w:t>
      </w:r>
    </w:p>
    <w:p>
      <w:r>
        <w:rPr>
          <w:b/>
        </w:rPr>
        <w:t xml:space="preserve">Aceh Besar: </w:t>
      </w:r>
      <w:r>
        <w:t>The interior region whose territorial aristocracy later challenged the port-capital and female rule.</w:t>
      </w:r>
    </w:p>
    <w:p>
      <w:r>
        <w:rPr>
          <w:b/>
        </w:rPr>
        <w:t xml:space="preserve">Sayyid: </w:t>
      </w:r>
      <w:r>
        <w:t>A person claiming descent from the Prophet Muhammad; an Arab dynasty of Sayyids succeeded the sultanas.</w:t>
      </w:r>
    </w:p>
    <w:p>
      <w:r>
        <w:rPr>
          <w:b/>
        </w:rPr>
        <w:t xml:space="preserve">Bustan al-Salatin: </w:t>
      </w:r>
      <w:r>
        <w:t>“Garden of Kings”; a major mirror-for-princes text associated with Nur al-Din al-Raniri.</w:t>
      </w:r>
    </w:p>
    <w:p>
      <w:r>
        <w:rPr>
          <w:b/>
        </w:rPr>
        <w:t xml:space="preserve">Hamzah Fansuri: </w:t>
      </w:r>
      <w:r>
        <w:t>A major Malay Sufi poet and mystic associated with Aceh and the wider Islamic intellectual world.</w:t>
      </w:r>
    </w:p>
    <w:p>
      <w:r>
        <w:rPr>
          <w:b/>
        </w:rPr>
        <w:t xml:space="preserve">Nur al-Din al-Raniri: </w:t>
      </w:r>
      <w:r>
        <w:t>Gujarati-born scholar in Aceh, associated with orthodox opposition to the mystical school of Hamzah Fansuri.</w:t>
      </w:r>
    </w:p>
    <w:p>
      <w:r>
        <w:rPr>
          <w:b/>
        </w:rPr>
        <w:t xml:space="preserve">Abd al-Rauf of Singkel: </w:t>
      </w:r>
      <w:r>
        <w:t>Acehnese scholar and mystic whose fame spread beyond Aceh, including to Java.</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