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rPr>
          <w:rFonts w:ascii="Georgia" w:hAnsi="Georgia"/>
          <w:color w:val="1B3A5C"/>
        </w:rPr>
        <w:t>AK-L05: The Rise of Mataram — Web Publishing Notes</w:t>
      </w:r>
    </w:p>
    <w:p>
      <w:pPr>
        <w:jc w:val="center"/>
      </w:pPr>
      <w:r>
        <w:rPr>
          <w:i/>
          <w:color w:val="4A5568"/>
          <w:sz w:val="22"/>
        </w:rPr>
        <w:t>Upload, linking, SEO and image guidance for WordPress.</w:t>
      </w:r>
    </w:p>
    <w:p>
      <w:r>
        <w:t>Resource package: AK-L05_The-Rise-of-Mataram-Organisation-and-Conflict-with-the-VOC</w:t>
      </w:r>
    </w:p>
    <w:p>
      <w:r>
        <w:t>Source: PDF Low Res-0008 — The Rise of Mataram: Its Organisation and Conflict with the V.O.C.; Asian Civilisation IIISE lecture notes.</w:t>
      </w:r>
    </w:p>
    <w:p>
      <w:pPr>
        <w:pStyle w:val="Heading2"/>
      </w:pPr>
      <w:r>
        <w:t>Standard Upload Filenames</w:t>
      </w:r>
    </w:p>
    <w:p>
      <w:r>
        <w:t>AK-L05_The-Rise-of-Mataram-Organisation-and-Conflict-with-the-VOC_Original-Lecture-Notes.pdf</w:t>
      </w:r>
    </w:p>
    <w:p>
      <w:r>
        <w:t>AK-L05_The-Rise-of-Mataram-Organisation-and-Conflict-with-the-VOC_Clean-Transcript.docx</w:t>
      </w:r>
    </w:p>
    <w:p>
      <w:r>
        <w:t>AK-L05_The-Rise-of-Mataram-Organisation-and-Conflict-with-the-VOC_Lecture-Synopsis.docx</w:t>
      </w:r>
    </w:p>
    <w:p>
      <w:r>
        <w:t>AK-L05_The-Rise-of-Mataram-Organisation-and-Conflict-with-the-VOC_Further-Reading.docx</w:t>
      </w:r>
    </w:p>
    <w:p>
      <w:r>
        <w:t>AK-L05_The-Rise-of-Mataram-Organisation-and-Conflict-with-the-VOC_Web-Publishing-Notes.docx</w:t>
      </w:r>
    </w:p>
    <w:p>
      <w:pPr>
        <w:pStyle w:val="Heading2"/>
      </w:pPr>
      <w:r>
        <w:t>Public Link Labels</w:t>
      </w:r>
    </w:p>
    <w:p>
      <w:r>
        <w:t>Lecture Synopsis</w:t>
      </w:r>
    </w:p>
    <w:p>
      <w:r>
        <w:t>Clean Transcript</w:t>
      </w:r>
    </w:p>
    <w:p>
      <w:r>
        <w:t>Original Lecture Notes</w:t>
      </w:r>
    </w:p>
    <w:p>
      <w:r>
        <w:t>Further Reading</w:t>
      </w:r>
    </w:p>
    <w:p>
      <w:pPr>
        <w:pStyle w:val="Heading2"/>
      </w:pPr>
      <w:r>
        <w:t>Suggested Archive Row Update</w:t>
      </w:r>
    </w:p>
    <w:p>
      <w:r>
        <w:t>Use actual Media Library URLs after upload:</w:t>
      </w:r>
    </w:p>
    <w:p>
      <w:r>
        <w:t>&lt;tr&gt;</w:t>
        <w:br/>
        <w:t xml:space="preserve">  &lt;td&gt;&lt;a href="/the-rise-of-mataram-organisation-and-conflict-with-the-voc/"&gt;The Rise of Mataram: Organisation and Conflict with the VOC&lt;/a&gt;&lt;/td&gt;</w:t>
        <w:br/>
        <w:t xml:space="preserve">  &lt;td&gt;PDF 008&lt;/td&gt;</w:t>
        <w:br/>
        <w:t xml:space="preserve">  &lt;td&gt;&lt;a href="PASTE-ORIGINAL-PDF-URL-HERE"&gt;PDF&lt;/a&gt;&lt;/td&gt;</w:t>
        <w:br/>
        <w:t xml:space="preserve">  &lt;td&gt;&lt;a href="PASTE-CLEAN-TRANSCRIPT-DOCX-URL-HERE"&gt;DOCX&lt;/a&gt;&lt;/td&gt;</w:t>
        <w:br/>
        <w:t xml:space="preserve">  &lt;td&gt;&lt;a href="PASTE-LECTURE-SYNOPSIS-DOCX-URL-HERE"&gt;DOCX&lt;/a&gt;&lt;/td&gt;</w:t>
        <w:br/>
        <w:t xml:space="preserve">  &lt;td&gt;&lt;a href="PASTE-FURTHER-READING-DOCX-URL-HERE"&gt;DOCX&lt;/a&gt;&lt;/td&gt;</w:t>
        <w:br/>
        <w:t>&lt;/tr&gt;</w:t>
      </w:r>
    </w:p>
    <w:p>
      <w:pPr>
        <w:pStyle w:val="Heading2"/>
      </w:pPr>
      <w:r>
        <w:t>SEO Title</w:t>
      </w:r>
    </w:p>
    <w:p>
      <w:r>
        <w:t>The Rise of Mataram: Organisation and Conflict with the VOC | Professor Ann Kumar Archive</w:t>
      </w:r>
    </w:p>
    <w:p>
      <w:pPr>
        <w:pStyle w:val="Heading2"/>
      </w:pPr>
      <w:r>
        <w:t>Meta Description</w:t>
      </w:r>
    </w:p>
    <w:p>
      <w:r>
        <w:t>Professor Ann Kumar’s lecture on the rise of Mataram, Sultan Agung, Javanese state organisation, pasisir Islam, regional bupati, Dutch Batavia and early VOC intervention.</w:t>
      </w:r>
    </w:p>
    <w:p>
      <w:pPr>
        <w:pStyle w:val="Heading2"/>
      </w:pPr>
      <w:r>
        <w:t>Suggested Image / Infographic Concepts</w:t>
      </w:r>
    </w:p>
    <w:p>
      <w:r>
        <w:t>Seventeenth-century Java map showing Mataram’s inland heartland, Batavia, Banten, Cirebon, Surabaya, Madura, Kartasura and north-coast pasisir states.</w:t>
      </w:r>
    </w:p>
    <w:p>
      <w:r>
        <w:t>Mataram as a Javanese Core: centre kraton and alun-alun; ring 1 negara agung; ring 2 mancanegara; outer layer tanah sebrang; side panel Batavia and pasisir coast.</w:t>
      </w:r>
    </w:p>
    <w:p>
      <w:r>
        <w:t>Dutch Intervention Spiral: weak claimant, Dutch support, concessions/debt, weakened kingship, revolt and further intervention.</w:t>
      </w:r>
    </w:p>
    <w:p>
      <w:pPr>
        <w:pStyle w:val="Heading2"/>
      </w:pPr>
      <w:r>
        <w:t>Suggested Alt Text</w:t>
      </w:r>
    </w:p>
    <w:p>
      <w:r>
        <w:t>Map of seventeenth-century Java showing Mataram’s inland heartland, the north-coast pasisir states, Batavia, Banten, Cirebon, Surabaya, Madura and later Kartasura.</w:t>
      </w:r>
    </w:p>
    <w:p>
      <w:pPr>
        <w:pStyle w:val="Heading2"/>
      </w:pPr>
      <w:r>
        <w:t>Internal Cross-Links</w:t>
      </w:r>
    </w:p>
    <w:p>
      <w:r>
        <w:t>/indonesian-cores-and-zones/</w:t>
      </w:r>
    </w:p>
    <w:p>
      <w:r>
        <w:t>/indigenous-sovereignty/</w:t>
      </w:r>
    </w:p>
    <w:p>
      <w:r>
        <w:t>/the-dutch-strategy-in-the-seventeenth-century/</w:t>
      </w:r>
    </w:p>
    <w:p>
      <w:r>
        <w:t>/surapati-rebel-warrior-and-legend/</w:t>
      </w:r>
    </w:p>
    <w:p>
      <w:r>
        <w:t>/changes-in-the-nature-of-the-voc-empire/</w:t>
      </w:r>
    </w:p>
    <w:p>
      <w:r>
        <w:t>/glossary/</w:t>
      </w:r>
    </w:p>
    <w:p>
      <w:r>
        <w:t>/bibliography/</w:t>
      </w:r>
    </w:p>
    <w:p>
      <w:pPr>
        <w:pStyle w:val="Heading2"/>
      </w:pPr>
      <w:r>
        <w:t>Editorial Caveat</w:t>
      </w:r>
    </w:p>
    <w:p>
      <w:r>
        <w:t>This package is reconstructed from the prepared WordPress lecture page and PDF Low Res-0008. It should be proofed against the original scan before final scholarly publication, especially names, dates and Javanese terms.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276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/>
      <w:b/>
      <w:bCs/>
      <w:color w:val="1B3A5C"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/>
      <w:b/>
      <w:bCs/>
      <w:color w:val="1B3A5C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/>
      <w:b/>
      <w:bCs/>
      <w:color w:val="1B3A5C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