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AK-L05: The Rise of Mataram — Lecture Synopsis</w:t>
      </w:r>
    </w:p>
    <w:p>
      <w:pPr>
        <w:jc w:val="center"/>
      </w:pPr>
      <w:r>
        <w:rPr>
          <w:i/>
          <w:color w:val="4A5568"/>
          <w:sz w:val="22"/>
        </w:rPr>
        <w:t>Brief teaching summary for students and archive visitors.</w:t>
      </w:r>
    </w:p>
    <w:p>
      <w:r>
        <w:t>Resource package: AK-L05_The-Rise-of-Mataram-Organisation-and-Conflict-with-the-VOC</w:t>
      </w:r>
    </w:p>
    <w:p>
      <w:r>
        <w:t>Source: PDF Low Res-0008 — The Rise of Mataram: Its Organisation and Conflict with the V.O.C.; Asian Civilisation IIISE lecture notes.</w:t>
      </w:r>
    </w:p>
    <w:p>
      <w:pPr>
        <w:pStyle w:val="Heading2"/>
      </w:pPr>
      <w:r>
        <w:t>Purpose of the Lecture</w:t>
      </w:r>
    </w:p>
    <w:p>
      <w:r>
        <w:t>This lecture examines Mataram as an inland Javanese core state: its rise under Sultan Agung, its incorporation of the north coast, its administrative and cosmic order, its regional weaknesses and its early encounters with Dutch Batavia.</w:t>
      </w:r>
    </w:p>
    <w:p>
      <w:pPr>
        <w:pStyle w:val="Heading2"/>
      </w:pPr>
      <w:r>
        <w:t>Core Argument</w:t>
      </w:r>
    </w:p>
    <w:p>
      <w:r>
        <w:t>Mataram was a powerful Javanese civilisation whose authority rested on agrarian resources, courtly hierarchy, symbolic kingship, Islamic-Javanese syncretism and regional subordination. Its later vulnerability to the VOC lay less in simple military weakness than in the difficulty of controlling regional lords, succession struggles and cash-poor administration. Dutch power grew by entering those internal tensions rather than by conquering Mataram directly.</w:t>
      </w:r>
    </w:p>
    <w:p>
      <w:pPr>
        <w:pStyle w:val="Heading2"/>
      </w:pPr>
      <w:r>
        <w:t>Key Points</w:t>
      </w:r>
    </w:p>
    <w:p>
      <w:r>
        <w:rPr>
          <w:b/>
        </w:rPr>
        <w:t xml:space="preserve">Mataram as an inland core: </w:t>
      </w:r>
      <w:r>
        <w:t>Mataram contrasted with Batavia’s coastal-commercial world; it was an agrarian court-state rather than a maritime trading polity.</w:t>
      </w:r>
    </w:p>
    <w:p>
      <w:r>
        <w:rPr>
          <w:b/>
        </w:rPr>
        <w:t xml:space="preserve">Sultan Agung: </w:t>
      </w:r>
      <w:r>
        <w:t>Agung brought the north coast under Mataram’s authority, integrated pasisir Islam into the Javanese heartland and attacked Batavia in 1628 and 1629.</w:t>
      </w:r>
    </w:p>
    <w:p>
      <w:r>
        <w:rPr>
          <w:b/>
        </w:rPr>
        <w:t xml:space="preserve">Pasisir Islam: </w:t>
      </w:r>
      <w:r>
        <w:t>The incorporation of coastal principalities brought new Islamic and commercial influences into inland Javanese culture.</w:t>
      </w:r>
    </w:p>
    <w:p>
      <w:r>
        <w:rPr>
          <w:b/>
        </w:rPr>
        <w:t xml:space="preserve">Cosmic political geography: </w:t>
      </w:r>
      <w:r>
        <w:t>The kraton and alun-alun formed the symbolic centre, surrounded by negara agung, mancanegara and tanah sebrang.</w:t>
      </w:r>
    </w:p>
    <w:p>
      <w:r>
        <w:rPr>
          <w:b/>
        </w:rPr>
        <w:t xml:space="preserve">Administrative tension: </w:t>
      </w:r>
      <w:r>
        <w:t>The Patih and wedana formed central administration, but regional bupati often became hereditary local lords.</w:t>
      </w:r>
    </w:p>
    <w:p>
      <w:r>
        <w:rPr>
          <w:b/>
        </w:rPr>
        <w:t xml:space="preserve">Weak coercive reach: </w:t>
      </w:r>
      <w:r>
        <w:t>Mataram had limited effective sanctions against regional officials who became autonomous.</w:t>
      </w:r>
    </w:p>
    <w:p>
      <w:r>
        <w:rPr>
          <w:b/>
        </w:rPr>
        <w:t xml:space="preserve">Dutch intervention: </w:t>
      </w:r>
      <w:r>
        <w:t>The VOC exploited succession disputes and weak claimants by offering military support in exchange for debt, territory and monopoly privileges.</w:t>
      </w:r>
    </w:p>
    <w:p>
      <w:r>
        <w:rPr>
          <w:b/>
        </w:rPr>
        <w:t xml:space="preserve">Amangkurat I: </w:t>
      </w:r>
      <w:r>
        <w:t>Amangkurat’s violence and anti-ulama policies are treated as part of a failed attempt at centralisation.</w:t>
      </w:r>
    </w:p>
    <w:p>
      <w:r>
        <w:rPr>
          <w:b/>
        </w:rPr>
        <w:t xml:space="preserve">Trunajaya and debt: </w:t>
      </w:r>
      <w:r>
        <w:t>The Trunajaya revolt produced Dutch military intervention and the beginning of Mataram’s state debt.</w:t>
      </w:r>
    </w:p>
    <w:p>
      <w:r>
        <w:rPr>
          <w:b/>
        </w:rPr>
        <w:t xml:space="preserve">Surapati connection: </w:t>
      </w:r>
      <w:r>
        <w:t>The lecture links Mataram to the broader Surapati story and to the persistence of anti-Dutch forces within Javanese court politics.</w:t>
      </w:r>
    </w:p>
    <w:p>
      <w:pPr>
        <w:pStyle w:val="Heading2"/>
      </w:pPr>
      <w:r>
        <w:t>Why It Matters for the Archive</w:t>
      </w:r>
    </w:p>
    <w:p>
      <w:r>
        <w:t>The lecture is central to the Indigenous Sovereignty hub and a bridge to the Colonial Engine hub. It shows Java as a core in the Smail sense: a powerful agrarian and cultural centre with its own logic. It also shows how colonial power entered Southeast Asian history through local political structures rather than simply overriding them from outside.</w:t>
      </w:r>
    </w:p>
    <w:p>
      <w:pPr>
        <w:pStyle w:val="Heading2"/>
      </w:pPr>
      <w:r>
        <w:t>Suggested Visuals</w:t>
      </w:r>
    </w:p>
    <w:p>
      <w:pPr>
        <w:ind w:left="360" w:hanging="216"/>
      </w:pPr>
      <w:r>
        <w:rPr>
          <w:b/>
        </w:rPr>
        <w:t xml:space="preserve">• </w:t>
      </w:r>
      <w:r>
        <w:t>Map of seventeenth-century Java: Mataram inland heartland, north-coast pasisir states, Batavia, Banten, Cirebon, Surabaya, Madura and Kartasura.</w:t>
      </w:r>
    </w:p>
    <w:p>
      <w:pPr>
        <w:ind w:left="360" w:hanging="216"/>
      </w:pPr>
      <w:r>
        <w:rPr>
          <w:b/>
        </w:rPr>
        <w:t xml:space="preserve">• </w:t>
      </w:r>
      <w:r>
        <w:t>Infographic: Mataram as a Javanese Core. Centre kraton/alun-alun; ring 1 negara agung; ring 2 mancanegara; outer layer tanah sebrang; side panel Batavia and the pasisir coast.</w:t>
      </w:r>
    </w:p>
    <w:p>
      <w:pPr>
        <w:ind w:left="360" w:hanging="216"/>
      </w:pPr>
      <w:r>
        <w:rPr>
          <w:b/>
        </w:rPr>
        <w:t xml:space="preserve">• </w:t>
      </w:r>
      <w:r>
        <w:t>Flow diagram: Dutch intervention spiral - weak claimant -&gt; Dutch support -&gt; concessions/debt -&gt; weaker kingship -&gt; renewed revolt -&gt; further intervention.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