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C5943A"/>
          <w:sz w:val="18"/>
        </w:rPr>
        <w:t>Professor Ann Kumar Southeast Asian Civilisation Archive</w:t>
      </w:r>
    </w:p>
    <w:p>
      <w:pPr>
        <w:pStyle w:val="Title"/>
        <w:jc w:val="center"/>
      </w:pPr>
      <w:r>
        <w:rPr>
          <w:rFonts w:ascii="Georgia" w:hAnsi="Georgia"/>
          <w:color w:val="1B3A5C"/>
        </w:rPr>
        <w:t>AK-L05: The Rise of Mataram — Further Reading</w:t>
      </w:r>
    </w:p>
    <w:p>
      <w:pPr>
        <w:jc w:val="center"/>
      </w:pPr>
      <w:r>
        <w:rPr>
          <w:i/>
          <w:color w:val="4A5568"/>
          <w:sz w:val="22"/>
        </w:rPr>
        <w:t>A compact reading guide based on the lecture’s sources and archive context.</w:t>
      </w:r>
    </w:p>
    <w:p>
      <w:r>
        <w:t>Resource package: AK-L05_The-Rise-of-Mataram-Organisation-and-Conflict-with-the-VOC</w:t>
      </w:r>
    </w:p>
    <w:p>
      <w:r>
        <w:t>Source: PDF Low Res-0008 — The Rise of Mataram: Its Organisation and Conflict with the V.O.C.; Asian Civilisation IIISE lecture notes.</w:t>
      </w:r>
    </w:p>
    <w:p>
      <w:pPr>
        <w:pStyle w:val="Heading2"/>
      </w:pPr>
      <w:r>
        <w:t>Reading Note</w:t>
      </w:r>
    </w:p>
    <w:p>
      <w:r>
        <w:t>The Mataram lecture sits at the point where Javanese political history, Islamic cultural transformation and early VOC intervention meet. The following reading suggestions should be checked and expanded against Professor Kumar’s original notes and the final archive bibliography.</w:t>
      </w:r>
    </w:p>
    <w:p>
      <w:pPr>
        <w:pStyle w:val="Heading2"/>
      </w:pPr>
      <w:r>
        <w:t>Lecture-Linked Scholars and Works</w:t>
      </w:r>
    </w:p>
    <w:p>
      <w:r>
        <w:rPr>
          <w:b/>
        </w:rPr>
        <w:t>C. C. Berg, works on Javanese historiography and royal genealogy.</w:t>
      </w:r>
      <w:r>
        <w:t xml:space="preserve"> Useful for the sceptical reading of Mataram’s dynastic traditions and Sultan Agung’s legitimacy.</w:t>
      </w:r>
    </w:p>
    <w:p>
      <w:r>
        <w:rPr>
          <w:b/>
        </w:rPr>
        <w:t>Clifford Geertz, The Religion of Java.</w:t>
      </w:r>
      <w:r>
        <w:t xml:space="preserve"> Relevant to the santri, abangan and priyayi categories discussed cautiously in the lecture.</w:t>
      </w:r>
    </w:p>
    <w:p>
      <w:r>
        <w:rPr>
          <w:b/>
        </w:rPr>
        <w:t>H. J. de Graaf, works on Sultan Agung, Mataram and Javanese-Dutch relations.</w:t>
      </w:r>
      <w:r>
        <w:t xml:space="preserve"> Essential for seventeenth-century Javanese political history and VOC involvement.</w:t>
      </w:r>
    </w:p>
    <w:p>
      <w:r>
        <w:rPr>
          <w:b/>
        </w:rPr>
        <w:t>Babad Tanah Jawi / Javanese chronicle traditions.</w:t>
      </w:r>
      <w:r>
        <w:t xml:space="preserve"> Primary context for traditional accounts of Mataram’s origins, kingship and dynastic memory.</w:t>
      </w:r>
    </w:p>
    <w:p>
      <w:r>
        <w:rPr>
          <w:b/>
        </w:rPr>
        <w:t>Works on the Trunajaya revolt, Banten and Surapati.</w:t>
      </w:r>
      <w:r>
        <w:t xml:space="preserve"> Useful for the transition from Mataram’s internal tensions to wider anti-Dutch networks.</w:t>
      </w:r>
    </w:p>
    <w:p>
      <w:pPr>
        <w:pStyle w:val="Heading2"/>
      </w:pPr>
      <w:r>
        <w:t>Suggested Contextual Reading to Verify</w:t>
      </w:r>
    </w:p>
    <w:p>
      <w:r>
        <w:rPr>
          <w:b/>
        </w:rPr>
        <w:t>M. C. Ricklefs, works on early modern Java and Mataram.</w:t>
      </w:r>
      <w:r>
        <w:t xml:space="preserve"> Modern scholarly context for Javanese courts, Islamisation and VOC-Javanese relations.</w:t>
      </w:r>
    </w:p>
    <w:p>
      <w:r>
        <w:rPr>
          <w:b/>
        </w:rPr>
        <w:t>Merle Calvin Ricklefs, Jogjakarta under Sultan Mangkubumi, 1749-1792.</w:t>
      </w:r>
      <w:r>
        <w:t xml:space="preserve"> For later Mataram partition and the long consequences of VOC intervention.</w:t>
      </w:r>
    </w:p>
    <w:p>
      <w:r>
        <w:rPr>
          <w:b/>
        </w:rPr>
        <w:t>Benedict Anderson, Language and Power.</w:t>
      </w:r>
      <w:r>
        <w:t xml:space="preserve"> Useful for broader interpretation of Javanese political culture and power.</w:t>
      </w:r>
    </w:p>
    <w:p>
      <w:r>
        <w:rPr>
          <w:b/>
        </w:rPr>
        <w:t>H. J. Benda and John Bastin, general histories of modern Southeast Asia.</w:t>
      </w:r>
      <w:r>
        <w:t xml:space="preserve"> Useful contextual background for colonial and indigenous political transformation.</w:t>
      </w:r>
    </w:p>
    <w:p>
      <w:pPr>
        <w:pStyle w:val="Heading2"/>
      </w:pPr>
      <w:r>
        <w:t>Archive Cross-Links</w:t>
      </w:r>
    </w:p>
    <w:p>
      <w:r>
        <w:t>Indonesian Cores and Zones</w:t>
      </w:r>
    </w:p>
    <w:p>
      <w:r>
        <w:t>The Dutch Strategy in the Seventeenth Century</w:t>
      </w:r>
    </w:p>
    <w:p>
      <w:r>
        <w:t>Surapati: Rebel, Warrior and Legend</w:t>
      </w:r>
    </w:p>
    <w:p>
      <w:r>
        <w:t>Changes in the Nature of the VOC Empire</w:t>
      </w:r>
    </w:p>
    <w:p>
      <w:r>
        <w:t>From c. 1800 to the End of the Culture System</w:t>
      </w:r>
    </w:p>
    <w:p>
      <w:r>
        <w:t>Glossary entries: pasisir, kraton, alun-alun, bupati, priyayi, ulama, cacah/tjatjah</w:t>
      </w:r>
    </w:p>
    <w:sectPr w:rsidR="00FC693F" w:rsidRPr="0006063C" w:rsidSect="00034616">
      <w:pgSz w:w="12240" w:h="15840"/>
      <w:pgMar w:top="1008" w:right="1152"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line="276" w:lineRule="auto"/>
    </w:pPr>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b/>
      <w:bCs/>
      <w:color w:val="1B3A5C"/>
      <w:sz w:val="4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b/>
      <w:bCs/>
      <w:color w:val="1B3A5C"/>
      <w:sz w:val="30"/>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b/>
      <w:bCs/>
      <w:color w:val="1B3A5C"/>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