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C5943A"/>
          <w:sz w:val="18"/>
        </w:rPr>
        <w:t>Professor Ann Kumar Southeast Asian Civilisation Archive</w:t>
      </w:r>
    </w:p>
    <w:p>
      <w:pPr>
        <w:pStyle w:val="Title"/>
        <w:jc w:val="center"/>
      </w:pPr>
      <w:r>
        <w:rPr>
          <w:rFonts w:ascii="Georgia" w:hAnsi="Georgia"/>
          <w:color w:val="1B3A5C"/>
        </w:rPr>
        <w:t>AK-L05: The Rise of Mataram — Clean Transcript</w:t>
      </w:r>
    </w:p>
    <w:p>
      <w:pPr>
        <w:jc w:val="center"/>
      </w:pPr>
      <w:r>
        <w:rPr>
          <w:i/>
          <w:color w:val="4A5568"/>
          <w:sz w:val="22"/>
        </w:rPr>
        <w:t>Edited teaching transcript reconstructed from Professor Ann Kumar’s lecture on Mataram, Javanese state organisation and early conflict with the VOC.</w:t>
      </w:r>
    </w:p>
    <w:p>
      <w:r>
        <w:t>Resource package: AK-L05_The-Rise-of-Mataram-Organisation-and-Conflict-with-the-VOC</w:t>
      </w:r>
    </w:p>
    <w:p>
      <w:r>
        <w:t>Source: PDF Low Res-0008 — The Rise of Mataram: Its Organisation and Conflict with the V.O.C.; Asian Civilisation IIISE lecture notes.</w:t>
      </w:r>
    </w:p>
    <w:tbl>
      <w:tblPr>
        <w:tblW w:type="auto" w:w="0"/>
        <w:jc w:val="center"/>
        <w:tblLook w:firstColumn="1" w:firstRow="1" w:lastColumn="0" w:lastRow="0" w:noHBand="0" w:noVBand="1" w:val="04A0"/>
      </w:tblPr>
      <w:tblGrid>
        <w:gridCol w:w="9936"/>
      </w:tblGrid>
      <w:tr>
        <w:tc>
          <w:tcPr>
            <w:tcW w:type="dxa" w:w="9936"/>
            <w:shd w:fill="F5F0E6"/>
            <w:vAlign w:val="top"/>
          </w:tcPr>
          <w:p>
            <w:r>
              <w:rPr>
                <w:b/>
                <w:color w:val="1B3A5C"/>
                <w:sz w:val="20"/>
              </w:rPr>
              <w:t>Editorial Note</w:t>
            </w:r>
          </w:p>
          <w:p>
            <w:pPr>
              <w:spacing w:after="80"/>
            </w:pPr>
            <w:r>
              <w:rPr>
                <w:sz w:val="18"/>
              </w:rPr>
              <w:t>This clean transcript is a teaching edition based on PDF Low Res-0008 and the archive lecture page already prepared for WordPress. Obvious OCR noise has been removed, names have been regularised, and paragraphing has been improved for readability. Final scholarly proofing should compare names, dates and spellings against the original scan.</w:t>
            </w:r>
          </w:p>
        </w:tc>
      </w:tr>
    </w:tbl>
    <w:p/>
    <w:p>
      <w:pPr>
        <w:pStyle w:val="Heading2"/>
      </w:pPr>
      <w:r>
        <w:t>Opening: Mataram as a Javanese Core</w:t>
      </w:r>
    </w:p>
    <w:p>
      <w:r>
        <w:t>This lecture examines the rise of the Javanese state of Mataram, its internal organisation, and its first major confrontations with the Dutch East India Company. Professor Kumar treats Mataram as more than a political rival to Batavia. It was an inland agrarian court-state with its own cosmology, administrative hierarchy, regional tensions, economic base and religious transformations.</w:t>
      </w:r>
    </w:p>
    <w:p>
      <w:r>
        <w:t>The conflict with the VOC therefore brings two different political worlds into contact: VOC sea-borne commerce and Javanese court-centred sovereignty. Mataram’s later vulnerability came not from simple weakness, but from the difficulty of holding together distant regions, local lords and rival claimants.</w:t>
      </w:r>
    </w:p>
    <w:p>
      <w:pPr>
        <w:pStyle w:val="Heading2"/>
      </w:pPr>
      <w:r>
        <w:t>Mataram and the New Dutch Settlement</w:t>
      </w:r>
    </w:p>
    <w:p>
      <w:r>
        <w:t>Professor Kumar begins by placing Mataram beside the arrival of the Dutch in western Java. The Dutch had defeated the Portuguese and, like them, sought monopoly in the spice trade. This brought them into conflict with Indonesian states whose interests lay in trade, including Banten and Demak.</w:t>
      </w:r>
    </w:p>
    <w:p>
      <w:r>
        <w:t>Batavia was established in 1618 within the sphere of Banten. Yet the chief threat to the new Dutch settlement came from the rising inland state of Mataram, whose basis was not primarily maritime trade but agrarian power, court authority and territorial expansion in Java.</w:t>
      </w:r>
    </w:p>
    <w:p>
      <w:pPr>
        <w:pStyle w:val="Heading2"/>
      </w:pPr>
      <w:r>
        <w:t>Traditional Origins and Sultan Agung</w:t>
      </w:r>
    </w:p>
    <w:p>
      <w:r>
        <w:t>The traditional account of Mataram’s rise is given in the Javanese chronicle tradition. It attributes the foundation of the dynasty to Kyai Gede Pemanahan, followed by his son Senapati and another ruler before Sultan Agung.</w:t>
      </w:r>
    </w:p>
    <w:p>
      <w:r>
        <w:t>Professor Kumar notes that scholars such as C. C. Berg questioned this genealogy, suggesting that Agung may have been an usurper who fabricated royal ancestors to legitimise his position. But for the historian, Agung remains the crucial figure.</w:t>
      </w:r>
    </w:p>
    <w:p>
      <w:r>
        <w:t>Agung reigned from 1613 to 1645. Through major campaigns he brought an end to the independence of the north-coast principalities. Madura remained independent until 1624, Surabaya until 1625. Like other strong rulers of central Java, Agung also claimed suzerainty beyond Java, including South Sumatra and South Borneo.</w:t>
      </w:r>
    </w:p>
    <w:p>
      <w:pPr>
        <w:pStyle w:val="Heading2"/>
      </w:pPr>
      <w:r>
        <w:t>The Incorporation of the North Coast</w:t>
      </w:r>
    </w:p>
    <w:p>
      <w:r>
        <w:t>Mataram’s conquest of the north-coast states had major consequences for Javanese civilisation. These coastal polities were where Islam had first gained official status in Java. Their culture resembled other coastal Muslim sultanates across the archipelago, in Sumatra, Malaya, Celebes, Borneo and elsewhere.</w:t>
      </w:r>
    </w:p>
    <w:p>
      <w:r>
        <w:t>This coastal culture is often called pasisir, from the Javanese word for coast or strand. It flourished in societies with strong interests in sea-borne trade rather than intensive inland agriculture. Under Agung, elements of pasisir Islam became more firmly established within the Javanese heartland.</w:t>
      </w:r>
    </w:p>
    <w:p>
      <w:r>
        <w:t>The incorporation of coastal Islam produced new strands within Javanese civilisation and new tensions. Professor Kumar refers to Clifford Geertz’s distinction between santri, abangan and priyayi, but warns that the categories can be too sharp if treated rigidly.</w:t>
      </w:r>
    </w:p>
    <w:p>
      <w:pPr>
        <w:pStyle w:val="Heading2"/>
      </w:pPr>
      <w:r>
        <w:t>Sultan Agung and Javanese-Islamic Syncretism</w:t>
      </w:r>
    </w:p>
    <w:p>
      <w:r>
        <w:t>Sultan Agung appears as either a devout Muslim or a ruler whose political strategy lay in persuading other Muslims of his Islamic legitimacy. He obtained the title of Sultan from Mecca, consulted regularly with the ulama, and used flags and banners brought from Mecca in battle.</w:t>
      </w:r>
    </w:p>
    <w:p>
      <w:r>
        <w:t>He also introduced the Javanese calendar. Professor Kumar treats this as a striking example of Javanese syncretism. It retained the old Hindu-Javanese Saka era beginning in 78 AD, but changed the reckoning from solar to lunar years and combined a five-day Javanese week with the seven-day Islamic week.</w:t>
      </w:r>
    </w:p>
    <w:p>
      <w:pPr>
        <w:pStyle w:val="Heading2"/>
      </w:pPr>
      <w:r>
        <w:t>The Kraton and the Cosmic State</w:t>
      </w:r>
    </w:p>
    <w:p>
      <w:r>
        <w:t>Professor Kumar then turns to the government and administration of Mataram. Javanese writers divided the state into several conceptual areas. At the centre stood the ruler’s capital: the negara or kraton.</w:t>
      </w:r>
    </w:p>
    <w:p>
      <w:r>
        <w:t>The kraton was laid out according to a fixed pattern around the alun-alun, the central square. The ruler’s residence stood on one side, the main mosque on another, with the houses of princes and officials arranged around it. The layout expressed political order, ritual hierarchy and cosmic harmony.</w:t>
      </w:r>
    </w:p>
    <w:p>
      <w:r>
        <w:t>If the kingdom suffered misfortune or defeat, the kraton might be moved because the old site was considered to have lost harmony with the cosmos. In Mataram’s case, the capital was moved three times before the partition of the realm in 1755.</w:t>
      </w:r>
    </w:p>
    <w:p>
      <w:pPr>
        <w:pStyle w:val="Heading2"/>
      </w:pPr>
      <w:r>
        <w:t>Negara Agung, Mancanegara and Tanah Sebrang</w:t>
      </w:r>
    </w:p>
    <w:p>
      <w:r>
        <w:t>Around the kraton lay the negara agung, the ruler’s core domain. This was not an urban area in the modern sense, but an area of villages tied closely to the court.</w:t>
      </w:r>
    </w:p>
    <w:p>
      <w:r>
        <w:t>Beyond it lay the mancanegara, the different or outer regions. Furthest away stood the tanah sebrang, the lands over the seas, including tributary places in South Sumatra and South Borneo.</w:t>
      </w:r>
    </w:p>
    <w:p>
      <w:r>
        <w:t>This spatial model is important because it shows that Mataram did not rule a modern bounded state. Power radiated from the centre, became looser with distance, and depended on moral, ritual, military and administrative ties rather than fixed borders.</w:t>
      </w:r>
    </w:p>
    <w:p>
      <w:pPr>
        <w:pStyle w:val="Heading2"/>
      </w:pPr>
      <w:r>
        <w:t>Central Administration: Patih and Wedana</w:t>
      </w:r>
    </w:p>
    <w:p>
      <w:r>
        <w:t>The central administration of the kraton and negara agung was elaborate. The most important official was the Patih. Around him stood four chief wedana, arranged in a pattern of symbolic significance.</w:t>
      </w:r>
    </w:p>
    <w:p>
      <w:r>
        <w:t>Professor Kumar stresses that the administrative hierarchy was rigid on paper, but more flexible in practice. A man might inherit an office or title from his predecessor while performing different functions, depending on ability, influence and relationship to the ruler.</w:t>
      </w:r>
    </w:p>
    <w:p>
      <w:pPr>
        <w:pStyle w:val="Heading2"/>
      </w:pPr>
      <w:r>
        <w:t>The Problem of the Regions</w:t>
      </w:r>
    </w:p>
    <w:p>
      <w:r>
        <w:t>Regional administration posed greater problems. Rulers could bind regions to the centre by placing them under members of the royal family, by making marriage alliances with local lords, or by sending officials from the kraton to govern the regions.</w:t>
      </w:r>
    </w:p>
    <w:p>
      <w:r>
        <w:t>Regional governors had various titles, including tumenggung, a military title, because raising and leading armed forces formed part of their duties. As a class, they came to be known as bupati, or regents.</w:t>
      </w:r>
    </w:p>
    <w:p>
      <w:r>
        <w:t>The bupati became one of the central tensions in Mataram’s political system. Their positions tended to become hereditary, and through intermarriage and shared interests they became part of the local aristocracy. This recreated the problem the ruler had tried to solve: the regions breaking away from the centre.</w:t>
      </w:r>
    </w:p>
    <w:p>
      <w:pPr>
        <w:pStyle w:val="Heading2"/>
      </w:pPr>
      <w:r>
        <w:t>Economic Resources: Rice, Labour and Appanages</w:t>
      </w:r>
    </w:p>
    <w:p>
      <w:r>
        <w:t>Mataram’s economy was based on peasant production. There was little cash in circulation. Tax was taken largely in the form of rice, other agricultural produce and labour.</w:t>
      </w:r>
    </w:p>
    <w:p>
      <w:r>
        <w:t>Rice fed the urban and court population and could be exported. Labour was essential for building palaces, public works and royal projects. The ruler’s family held appanages in the negara agung, from which they could draw produce and labour.</w:t>
      </w:r>
    </w:p>
    <w:p>
      <w:r>
        <w:t>The size of these appanages was reckoned in cacah or tjatjah, meaning households. This shows that manpower was one of the fundamental measures of wealth and power.</w:t>
      </w:r>
    </w:p>
    <w:p>
      <w:pPr>
        <w:pStyle w:val="Heading2"/>
      </w:pPr>
      <w:r>
        <w:t>What Held Mataram Together?</w:t>
      </w:r>
    </w:p>
    <w:p>
      <w:r>
        <w:t>Professor Kumar is clear about the forces tending towards the break-up of Mataram: regional autonomy, local aristocracies, weak cash administration, difficult communications and the limited coercive reach of the centre.</w:t>
      </w:r>
    </w:p>
    <w:p>
      <w:r>
        <w:t>What held the realm together was not primarily economic or administrative integration. It was cultural and moral. A common Javanese language and, among the governing class, a common priyayi ethic carried considerable force.</w:t>
      </w:r>
    </w:p>
    <w:p>
      <w:r>
        <w:t>This helps explain why the Dutch often recruited soldiers from outside Javanese culture, such as Makassarese, Balinese and Madurese, who did not share the same ethic and could be used against Javanese opponents.</w:t>
      </w:r>
    </w:p>
    <w:p>
      <w:pPr>
        <w:pStyle w:val="Heading2"/>
      </w:pPr>
      <w:r>
        <w:t>Sultan Agung and Batavia</w:t>
      </w:r>
    </w:p>
    <w:p>
      <w:r>
        <w:t>The first direct conflict between Mataram and the Dutch was initiated by Sultan Agung. He had demanded tribute from Batavia and had received it, but he had also asked for Dutch help in his Surabaya campaign and had not received it. He therefore decided to attack.</w:t>
      </w:r>
    </w:p>
    <w:p>
      <w:r>
        <w:t>The years 1627 to 1629 were precarious for the Dutch settlement, then under Jan Pieterszoon Coen. In 1628 and again in 1629, Agung’s forces laid siege to Batavia.</w:t>
      </w:r>
    </w:p>
    <w:p>
      <w:r>
        <w:t>Professor Kumar emphasises that Mataram’s military organisation was far from contemptible. The Javanese brought artillery through marshes and jungle terrain the Dutch had thought impassable. During the siege they appeared disciplined and skilled in manoeuvre and siege works.</w:t>
      </w:r>
    </w:p>
    <w:p>
      <w:pPr>
        <w:pStyle w:val="Heading2"/>
      </w:pPr>
      <w:r>
        <w:t>Why the Sieges Failed</w:t>
      </w:r>
    </w:p>
    <w:p>
      <w:r>
        <w:t>Although Coen died of cholera during the siege, the Dutch eventually beat off Agung’s forces. The decisive factor was not simply fortification, but Dutch command of shipping. Dutch naval superiority enabled them to cut off Javanese food supplies.</w:t>
      </w:r>
    </w:p>
    <w:p>
      <w:r>
        <w:t>The Dutch also benefited from Banten’s fear of Mataram. When Mataram attacked Batavia for the second time, the ruler of Banten made peace with the Dutch, apparently fearing that he would be next on Agung’s list.</w:t>
      </w:r>
    </w:p>
    <w:p>
      <w:r>
        <w:t>This was the first and last direct confrontation between Mataram and the Dutch. Over the next 120 years, the Dutch would displace Mataram as the paramount power on Java not by direct attack, but by intervention in the internal strife of the Javanese state.</w:t>
      </w:r>
    </w:p>
    <w:p>
      <w:pPr>
        <w:pStyle w:val="Heading2"/>
      </w:pPr>
      <w:r>
        <w:t>The Pattern of Dutch Intervention</w:t>
      </w:r>
    </w:p>
    <w:p>
      <w:r>
        <w:t>Professor Kumar identifies a repeating pattern. The Dutch would help one claimant to the throne, giving him the edge over rivals. The price of victory would be concessions: territory, debt obligations or trading rights in particular commodities.</w:t>
      </w:r>
    </w:p>
    <w:p>
      <w:r>
        <w:t>The weaker claimant often sought Dutch assistance. That meant a less capable ruler might gain the throne because of outside support, weakening the state further and producing new revolts. Professor Kumar describes this as a spiralling effect of an initial technological disparity.</w:t>
      </w:r>
    </w:p>
    <w:p>
      <w:pPr>
        <w:pStyle w:val="Heading2"/>
      </w:pPr>
      <w:r>
        <w:t>Amangkurat I: Cruelty and Centralisation</w:t>
      </w:r>
    </w:p>
    <w:p>
      <w:r>
        <w:t>Sultan Agung was succeeded by his son Amangkurat I, who reigned from 1645 to 1677. He reversed many of his father’s policies, favouring Javanese traditions over newer Islamic elements and dropping the title of Sultan.</w:t>
      </w:r>
    </w:p>
    <w:p>
      <w:r>
        <w:t>His actions have been judged harshly by historians, but Professor Kumar distinguishes moral judgement from political significance. His atrocities formed part of an attempt to destroy regional lordship and create a more centralised bureaucracy. He also attempted to introduce monetary taxation and make foreign trade a state monopoly.</w:t>
      </w:r>
    </w:p>
    <w:p>
      <w:r>
        <w:t>Yet the attempt to form something like a nation-state out of a society based on a goods economy and undeveloped communications was not successful. Amangkurat appears as cruel, but not irrationally so.</w:t>
      </w:r>
    </w:p>
    <w:p>
      <w:pPr>
        <w:pStyle w:val="Heading2"/>
      </w:pPr>
      <w:r>
        <w:t>Islam, Ulama and Alternative Power</w:t>
      </w:r>
    </w:p>
    <w:p>
      <w:r>
        <w:t>Amangkurat’s policy towards Islam was equally revealing. He abolished Islamic courts and massacred several thousand ulama, apparently seeing them as an alternative focus of power to the monarch.</w:t>
      </w:r>
    </w:p>
    <w:p>
      <w:r>
        <w:t>This moment shows that religion in Mataram was not merely belief or ritual. It was also political authority. The ulama could offer a rival form of legitimacy and organisation, and Amangkurat treated them as a threat to centralised royal power.</w:t>
      </w:r>
    </w:p>
    <w:p>
      <w:pPr>
        <w:pStyle w:val="Heading2"/>
      </w:pPr>
      <w:r>
        <w:t>Trunajaya and the Dutch Debt</w:t>
      </w:r>
    </w:p>
    <w:p>
      <w:r>
        <w:t>Amangkurat’s unpopularity left him vulnerable when Trunajaya, a prince of Madura claiming descent from Majapahit, rose in revolt. Amangkurat asked for and received Dutch help. Even so, Trunajaya was able to take and sack the capital, while Amangkurat fled and died before the war was concluded.</w:t>
      </w:r>
    </w:p>
    <w:p>
      <w:r>
        <w:t>In 1677, Amangkurat’s son, Mangkurat II, signed a treaty with the Dutch. He agreed to pay the costs of the war, calculated at 20,000 rijksdaalders per month. As guarantee, the Dutch received the port of Semarang and its revenues.</w:t>
      </w:r>
    </w:p>
    <w:p>
      <w:r>
        <w:t>This was the beginning of the state debt of Mataram. Although the Dutch said the debt could be paid in instalments, the ruler had no realistic hope of raising so much cash. Interest accumulated, and the situation worsened steadily. The treaty also gave the Dutch a monopoly in cloth and opium.</w:t>
      </w:r>
    </w:p>
    <w:p>
      <w:pPr>
        <w:pStyle w:val="Heading2"/>
      </w:pPr>
      <w:r>
        <w:t>Banten, Islam and Dutch Intervention</w:t>
      </w:r>
    </w:p>
    <w:p>
      <w:r>
        <w:t>Around the same time, the Dutch brought about the downfall of Banten’s independence through similar mechanisms: family quarrels and intervention on behalf of a weaker contender.</w:t>
      </w:r>
    </w:p>
    <w:p>
      <w:r>
        <w:t>Sultan Abulfatah of Banten had built up a strong fleet with English and Danish assistance and engaged in the pepper trade. Banten was also a centre of Muslim learning, with religious traffic to and from the wider Islamic world.</w:t>
      </w:r>
    </w:p>
    <w:p>
      <w:r>
        <w:t>His son, Sultan Haji, rebelled and sought Dutch help despite their status as infidels. The Dutch rescued him from imprisonment in his own palace, and he became ruler of Banten under strong Dutch control.</w:t>
      </w:r>
    </w:p>
    <w:p>
      <w:pPr>
        <w:pStyle w:val="Heading2"/>
      </w:pPr>
      <w:r>
        <w:t>Surapati and the Anti-Dutch Party</w:t>
      </w:r>
    </w:p>
    <w:p>
      <w:r>
        <w:t>By the first half of the 1680s, the Dutch had ended Banten’s independence and seriously weakened Mataram. Yet there remained an anti-Dutch party at the Mataram court, led by the Patih.</w:t>
      </w:r>
    </w:p>
    <w:p>
      <w:r>
        <w:t>This anti-Dutch party found support in Surapati and his followers. Surapati’s origins were uncertain, but he was probably an escaped Balinese slave from Dutch Batavia. He had already been involved in the Banten campaigns and now joined the anti-Dutch party at Kartasura.</w:t>
      </w:r>
    </w:p>
    <w:p>
      <w:r>
        <w:t>An expedition was sent against him, and its leader was killed in an engagement with Surapati and his followers. Mangkurat II, who had initially supported him, became afraid of Dutch reprisals. Surapati withdrew to East Java, where he established a semi-independent principality.</w:t>
      </w:r>
    </w:p>
    <w:p>
      <w:pPr>
        <w:pStyle w:val="Heading2"/>
      </w:pPr>
      <w:r>
        <w:t>This Lecture in the Archive’s Larger Argument</w:t>
      </w:r>
    </w:p>
    <w:p>
      <w:r>
        <w:t>This lecture is one of the archive’s strongest examples of Java as a core. Mataram was not merely a local kingdom reacting to Europeans. It was a powerful inland civilisation with its own political geography, court cosmology, Islamic transformations, administrative hierarchy, aristocratic ethic and regional contradictions.</w:t>
      </w:r>
    </w:p>
    <w:p>
      <w:r>
        <w:t>The Dutch did not have to conquer Mataram in a single decisive act. They entered its internal tensions, used debt and military assistance as leverage, and slowly displaced it as the paramount power on Java.</w:t>
      </w:r>
    </w:p>
    <w:p>
      <w:pPr>
        <w:pStyle w:val="Heading2"/>
      </w:pPr>
      <w:r>
        <w:t>Key Terms in the Lecture</w:t>
      </w:r>
    </w:p>
    <w:p>
      <w:r>
        <w:rPr>
          <w:b/>
        </w:rPr>
        <w:t xml:space="preserve">pasisir: </w:t>
      </w:r>
      <w:r>
        <w:t>The Javanese coastal cultural world, associated with trade, Islam and maritime links.</w:t>
      </w:r>
    </w:p>
    <w:p>
      <w:r>
        <w:rPr>
          <w:b/>
        </w:rPr>
        <w:t xml:space="preserve">santri, abangan, priyayi: </w:t>
      </w:r>
      <w:r>
        <w:t>Categories associated with Clifford Geertz’s analysis of Javanese religion and society; Professor Kumar uses them cautiously.</w:t>
      </w:r>
    </w:p>
    <w:p>
      <w:r>
        <w:rPr>
          <w:b/>
        </w:rPr>
        <w:t xml:space="preserve">kraton: </w:t>
      </w:r>
      <w:r>
        <w:t>The Javanese royal palace-centre, symbolic and administrative heart of the kingdom.</w:t>
      </w:r>
    </w:p>
    <w:p>
      <w:r>
        <w:rPr>
          <w:b/>
        </w:rPr>
        <w:t xml:space="preserve">alun-alun: </w:t>
      </w:r>
      <w:r>
        <w:t>The central square of the Javanese kraton layout.</w:t>
      </w:r>
    </w:p>
    <w:p>
      <w:r>
        <w:rPr>
          <w:b/>
        </w:rPr>
        <w:t xml:space="preserve">negara agung: </w:t>
      </w:r>
      <w:r>
        <w:t>The core area around the capital, closely tied to ruler and court.</w:t>
      </w:r>
    </w:p>
    <w:p>
      <w:r>
        <w:rPr>
          <w:b/>
        </w:rPr>
        <w:t xml:space="preserve">mancanegara: </w:t>
      </w:r>
      <w:r>
        <w:t>The outer regions of the kingdom, more distant and harder to control.</w:t>
      </w:r>
    </w:p>
    <w:p>
      <w:r>
        <w:rPr>
          <w:b/>
        </w:rPr>
        <w:t xml:space="preserve">tanah sebrang: </w:t>
      </w:r>
      <w:r>
        <w:t>The lands over the seas, including tributary areas beyond Java.</w:t>
      </w:r>
    </w:p>
    <w:p>
      <w:r>
        <w:rPr>
          <w:b/>
        </w:rPr>
        <w:t xml:space="preserve">Patih: </w:t>
      </w:r>
      <w:r>
        <w:t>The chief minister or most important official in the Javanese court administration.</w:t>
      </w:r>
    </w:p>
    <w:p>
      <w:r>
        <w:rPr>
          <w:b/>
        </w:rPr>
        <w:t xml:space="preserve">wedana: </w:t>
      </w:r>
      <w:r>
        <w:t>Senior officials in the Javanese administrative hierarchy.</w:t>
      </w:r>
    </w:p>
    <w:p>
      <w:r>
        <w:rPr>
          <w:b/>
        </w:rPr>
        <w:t xml:space="preserve">bupati: </w:t>
      </w:r>
      <w:r>
        <w:t>Regional regents or governors, often locally rooted and difficult for the centre to control.</w:t>
      </w:r>
    </w:p>
    <w:p>
      <w:r>
        <w:rPr>
          <w:b/>
        </w:rPr>
        <w:t xml:space="preserve">cacah / tjatjah: </w:t>
      </w:r>
      <w:r>
        <w:t>A household unit used to reckon appanage size and labour capacity.</w:t>
      </w:r>
    </w:p>
    <w:p>
      <w:r>
        <w:rPr>
          <w:b/>
        </w:rPr>
        <w:t xml:space="preserve">ulama: </w:t>
      </w:r>
      <w:r>
        <w:t>Muslim religious scholars and interpreters of Islamic law.</w:t>
      </w:r>
    </w:p>
    <w:p>
      <w:r>
        <w:rPr>
          <w:b/>
        </w:rPr>
        <w:t xml:space="preserve">Trunajaya revolt: </w:t>
      </w:r>
      <w:r>
        <w:t>A major rebellion that led to deep Dutch intervention and the beginning of Mataram’s state debt.</w:t>
      </w:r>
    </w:p>
    <w:sectPr w:rsidR="00FC693F" w:rsidRPr="0006063C" w:rsidSect="00034616">
      <w:pgSz w:w="12240" w:h="15840"/>
      <w:pgMar w:top="1008" w:right="1152"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line="276" w:lineRule="auto"/>
    </w:pPr>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b/>
      <w:bCs/>
      <w:color w:val="1B3A5C"/>
      <w:sz w:val="4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b/>
      <w:bCs/>
      <w:color w:val="1B3A5C"/>
      <w:sz w:val="30"/>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b/>
      <w:bCs/>
      <w:color w:val="1B3A5C"/>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