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rPr>
          <w:rFonts w:ascii="Georgia" w:hAnsi="Georgia"/>
          <w:color w:val="1B3A5C"/>
        </w:rPr>
        <w:t>AK-L04: Arung Palakka and South Celebes Politics — Further Reading</w:t>
      </w:r>
    </w:p>
    <w:p>
      <w:pPr>
        <w:jc w:val="center"/>
      </w:pPr>
      <w:r>
        <w:rPr>
          <w:i/>
          <w:color w:val="4A5568"/>
          <w:sz w:val="22"/>
        </w:rPr>
        <w:t>A compact reading guide based on the lecture’s sources and archive context.</w:t>
      </w:r>
    </w:p>
    <w:p>
      <w:r>
        <w:t>Resource package: AK-L04_Arung-Palakka-and-South-Celebes-Politics</w:t>
      </w:r>
    </w:p>
    <w:p>
      <w:r>
        <w:t>Source: PDF Low Res-0007 — South-west Celebes: Buginese communities and Arung Palakka; Asian Civilisation IIISE lecture notes.</w:t>
      </w:r>
    </w:p>
    <w:p>
      <w:pPr>
        <w:pStyle w:val="Heading2"/>
      </w:pPr>
      <w:r>
        <w:t>Reading Note</w:t>
      </w:r>
    </w:p>
    <w:p>
      <w:r>
        <w:t>The Arung Palakka material links Buginese political institutions to the wider seventeenth-century struggles among Bone, Goa/Makassar and the VOC. It should be read alongside the Buginese kingship lecture, the Makassar and Bongaya Treaty page, and the VOC strategy material.</w:t>
      </w:r>
    </w:p>
    <w:p>
      <w:pPr>
        <w:pStyle w:val="Heading2"/>
      </w:pPr>
      <w:r>
        <w:t>Primary Lecture-Linked Sources and Themes</w:t>
      </w:r>
    </w:p>
    <w:p>
      <w:r>
        <w:rPr>
          <w:b/>
        </w:rPr>
        <w:t>Buginese origin, adat and Hadat materials.</w:t>
      </w:r>
      <w:r>
        <w:t xml:space="preserve"> Necessary background for understanding why Arung Palakka’s ability to impose his will on the Hadat was unusual.</w:t>
      </w:r>
    </w:p>
    <w:p>
      <w:r>
        <w:rPr>
          <w:b/>
        </w:rPr>
        <w:t>C. C. Macknight, “The Emergence of Civilization in South Celebes”.</w:t>
      </w:r>
      <w:r>
        <w:t xml:space="preserve"> Important for the wider claim that South Celebes is a test case for indigenous Southeast Asian civilisational vitality.</w:t>
      </w:r>
    </w:p>
    <w:p>
      <w:r>
        <w:rPr>
          <w:b/>
        </w:rPr>
        <w:t>K. J. Noorduyn, “Origins of South Celebes Historical Writing,” in Soedjatmoko et al., eds., An Introduction to Indonesian Historiography.</w:t>
      </w:r>
      <w:r>
        <w:t xml:space="preserve"> Useful for the documentary and historiographical traditions that make South Celebes unusually rich as a field of study.</w:t>
      </w:r>
    </w:p>
    <w:p>
      <w:r>
        <w:rPr>
          <w:b/>
        </w:rPr>
        <w:t>VOC and Makassar/Bongaya materials from the Dutch Strategy lecture.</w:t>
      </w:r>
      <w:r>
        <w:t xml:space="preserve"> Provide the Dutch side of the campaign against Goa and the broader monopoly conflict.</w:t>
      </w:r>
    </w:p>
    <w:p>
      <w:pPr>
        <w:pStyle w:val="Heading2"/>
      </w:pPr>
      <w:r>
        <w:t>Suggested Contextual Reading to Verify</w:t>
      </w:r>
    </w:p>
    <w:p>
      <w:r>
        <w:rPr>
          <w:b/>
        </w:rPr>
        <w:t>Leonard Y. Andaya, The Heritage of Arung Palakka.</w:t>
      </w:r>
      <w:r>
        <w:t xml:space="preserve"> A major study of Arung Palakka, Bone, South Sulawesi and the eastern Indonesian political world.</w:t>
      </w:r>
    </w:p>
    <w:p>
      <w:r>
        <w:rPr>
          <w:b/>
        </w:rPr>
        <w:t>Christian Pelras, The Bugis.</w:t>
      </w:r>
      <w:r>
        <w:t xml:space="preserve"> A modern overview of Buginese society, culture, mobility and historical identity.</w:t>
      </w:r>
    </w:p>
    <w:p>
      <w:r>
        <w:rPr>
          <w:b/>
        </w:rPr>
        <w:t>Anthony Reid, works on Southeast Asian trade and early modern regional history.</w:t>
      </w:r>
      <w:r>
        <w:t xml:space="preserve"> Useful for placing Makassar, Buginese mobility and maritime Southeast Asia in broader context.</w:t>
      </w:r>
    </w:p>
    <w:p>
      <w:r>
        <w:rPr>
          <w:b/>
        </w:rPr>
        <w:t>C. R. Boxer and H. J. de Graaf, works on the Dutch East India Company and seventeenth-century Indonesia.</w:t>
      </w:r>
      <w:r>
        <w:t xml:space="preserve"> Useful for the VOC side of the Makassar and South Celebes story.</w:t>
      </w:r>
    </w:p>
    <w:p>
      <w:pPr>
        <w:pStyle w:val="Heading2"/>
      </w:pPr>
      <w:r>
        <w:t>Archive Cross-Links</w:t>
      </w:r>
    </w:p>
    <w:p>
      <w:r>
        <w:t>The Buginese Concept of Kingship</w:t>
      </w:r>
    </w:p>
    <w:p>
      <w:r>
        <w:t>Makassar and the Bongaya Treaty</w:t>
      </w:r>
    </w:p>
    <w:p>
      <w:r>
        <w:t>The Dutch Strategy in the Seventeenth Century</w:t>
      </w:r>
    </w:p>
    <w:p>
      <w:r>
        <w:t>South Celebes as a Test Case of Indigenous Civilisation</w:t>
      </w:r>
    </w:p>
    <w:p>
      <w:r>
        <w:t>Glossary entries: Arung, Hadat, adat, wanua, Bone, Goa/Gowa, VOC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76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1B3A5C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1B3A5C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/>
      <w:b/>
      <w:bCs/>
      <w:color w:val="1B3A5C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