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AK-L03: The Buginese Concept of Kingship — Lecture Synopsis</w:t>
      </w:r>
    </w:p>
    <w:p>
      <w:pPr>
        <w:jc w:val="center"/>
      </w:pPr>
      <w:r>
        <w:rPr>
          <w:i/>
          <w:color w:val="4A5568"/>
          <w:sz w:val="22"/>
        </w:rPr>
        <w:t>Brief teaching summary for students and archive visitors.</w:t>
      </w:r>
    </w:p>
    <w:p>
      <w:r>
        <w:t>Resource package: AK-L03_The-Buginese-Concept-of-Kingship</w:t>
      </w:r>
    </w:p>
    <w:p>
      <w:r>
        <w:t>Source: PDF Low Res-0007 — South-west Celebes: The Buginese Communities; Asian Civilisation IIISE lecture notes.</w:t>
      </w:r>
    </w:p>
    <w:p>
      <w:pPr>
        <w:pStyle w:val="Heading2"/>
      </w:pPr>
      <w:r>
        <w:t>Purpose of the Lecture</w:t>
      </w:r>
    </w:p>
    <w:p>
      <w:r>
        <w:t>This lecture examines Buginese kingship in South-west Celebes, asking what kind of authority a king possessed and how that authority operated in practice. Professor Kumar works from origin myths and adat materials to show that Buginese kingship combined sacred descent with a strongly consultative and federating political role.</w:t>
      </w:r>
    </w:p>
    <w:p>
      <w:pPr>
        <w:pStyle w:val="Heading2"/>
      </w:pPr>
      <w:r>
        <w:t>Core Argument</w:t>
      </w:r>
    </w:p>
    <w:p>
      <w:r>
        <w:t>Buginese kingship should not be understood simply as divine or absolute monarchy. The ruler is sacred and mediates between people and gods, but his more important practical function is to arbitrate between wanua communities. His power is constrained by adat and by the Hadat, whose members represent the component communities of the polity.</w:t>
      </w:r>
    </w:p>
    <w:p>
      <w:pPr>
        <w:pStyle w:val="Heading2"/>
      </w:pPr>
      <w:r>
        <w:t>Key Points</w:t>
      </w:r>
    </w:p>
    <w:p>
      <w:r>
        <w:rPr>
          <w:b/>
        </w:rPr>
        <w:t xml:space="preserve">Two sources of evidence: </w:t>
      </w:r>
      <w:r>
        <w:t>Professor Kumar uses origin myths and adat sayings to reconstruct the theory and practice of kingship.</w:t>
      </w:r>
    </w:p>
    <w:p>
      <w:r>
        <w:rPr>
          <w:b/>
        </w:rPr>
        <w:t xml:space="preserve">Chaos before kingship: </w:t>
      </w:r>
      <w:r>
        <w:t>The myths describe a rulerless condition in which human beings become “like fishes devouring one another”.</w:t>
      </w:r>
    </w:p>
    <w:p>
      <w:r>
        <w:rPr>
          <w:b/>
        </w:rPr>
        <w:t xml:space="preserve">Heavenly descent: </w:t>
      </w:r>
      <w:r>
        <w:t>The king descends from heaven with royal regalia and is invited by the people to remain as ruler.</w:t>
      </w:r>
    </w:p>
    <w:p>
      <w:r>
        <w:rPr>
          <w:b/>
        </w:rPr>
        <w:t xml:space="preserve">Institutional foundation: </w:t>
      </w:r>
      <w:r>
        <w:t>The ruler establishes regulations, property rules and the Hadat as a court of appeal and advisory council.</w:t>
      </w:r>
    </w:p>
    <w:p>
      <w:r>
        <w:rPr>
          <w:b/>
        </w:rPr>
        <w:t xml:space="preserve">Wanua and gaukang: </w:t>
      </w:r>
      <w:r>
        <w:t>Before kingship, local communities were centred on sacred objects and lacked a superior authority to settle disputes.</w:t>
      </w:r>
    </w:p>
    <w:p>
      <w:r>
        <w:rPr>
          <w:b/>
        </w:rPr>
        <w:t xml:space="preserve">Hadat as restraint: </w:t>
      </w:r>
      <w:r>
        <w:t>The ruler is subordinate to adat and can be deposed if he acts improperly.</w:t>
      </w:r>
    </w:p>
    <w:p>
      <w:r>
        <w:rPr>
          <w:b/>
        </w:rPr>
        <w:t xml:space="preserve">Dual function: </w:t>
      </w:r>
      <w:r>
        <w:t>The ruler mediates between people and gods, and between wanua communities. The second function is more important in practice.</w:t>
      </w:r>
    </w:p>
    <w:p>
      <w:pPr>
        <w:pStyle w:val="Heading2"/>
      </w:pPr>
      <w:r>
        <w:t>Why It Matters for the Archive</w:t>
      </w:r>
    </w:p>
    <w:p>
      <w:r>
        <w:t>The lecture is central to the Indigenous Sovereignty hub because it presents a Southeast Asian political tradition on its own terms. Buginese kingship emerges as contractual, consultative and federative, rather than as a derivative copy of Indian, Islamic or European models. It prepares the ground for the next lecture on Arung Palakka, whose exceptional power temporarily altered this balance between ruler, people, exiles, Dutch support and Hadat.</w:t>
      </w:r>
    </w:p>
    <w:p>
      <w:pPr>
        <w:pStyle w:val="Heading2"/>
      </w:pPr>
      <w:r>
        <w:t>Suggested Graphic</w:t>
      </w:r>
    </w:p>
    <w:p>
      <w:r>
        <w:t>The Contract of Buginese Kingship: show multiple wanua communities, each centred on a gaukang, sending their arung representatives into the Hadat. Above the diagram, show the ruler descending from the Upperworld with regalia; below, show the Underworld. Use arrows to show mediation between gods, ruler, Hadat and communities, not a hierarchy of absolute command.</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